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hint="eastAsia" w:ascii="宋体" w:hAnsi="宋体"/>
          <w:b/>
          <w:bCs/>
          <w:sz w:val="52"/>
          <w:szCs w:val="52"/>
        </w:rPr>
      </w:pPr>
      <w:r>
        <w:rPr>
          <w:rFonts w:hint="eastAsia" w:ascii="宋体" w:hAnsi="宋体"/>
          <w:b/>
          <w:bCs/>
          <w:sz w:val="52"/>
          <w:szCs w:val="52"/>
        </w:rPr>
        <w:t>南通高等师范学校附属小学</w:t>
      </w:r>
    </w:p>
    <w:p>
      <w:pPr>
        <w:pStyle w:val="19"/>
        <w:ind w:firstLine="0"/>
        <w:jc w:val="center"/>
        <w:rPr>
          <w:rFonts w:ascii="宋体" w:hAnsi="宋体"/>
          <w:b/>
          <w:bCs/>
          <w:sz w:val="52"/>
          <w:szCs w:val="52"/>
        </w:rPr>
      </w:pPr>
      <w:r>
        <w:rPr>
          <w:rFonts w:hint="eastAsia" w:ascii="宋体" w:hAnsi="宋体"/>
          <w:b/>
          <w:bCs/>
          <w:sz w:val="52"/>
          <w:szCs w:val="52"/>
        </w:rPr>
        <w:t>食堂餐梯更换采购项目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rPr>
          <w:rFonts w:ascii="宋体" w:hAnsi="宋体"/>
          <w:b/>
          <w:bCs/>
          <w:sz w:val="32"/>
        </w:rPr>
      </w:pPr>
    </w:p>
    <w:p>
      <w:pPr>
        <w:pStyle w:val="19"/>
        <w:ind w:firstLine="1372" w:firstLineChars="427"/>
        <w:rPr>
          <w:rFonts w:ascii="宋体" w:hAnsi="宋体"/>
          <w:b/>
          <w:bCs/>
          <w:sz w:val="32"/>
        </w:rPr>
      </w:pPr>
    </w:p>
    <w:p>
      <w:pPr>
        <w:pStyle w:val="19"/>
        <w:ind w:firstLine="1372" w:firstLineChars="427"/>
        <w:rPr>
          <w:rFonts w:ascii="宋体" w:hAnsi="宋体"/>
          <w:b/>
          <w:bCs/>
          <w:sz w:val="32"/>
        </w:rPr>
      </w:pPr>
    </w:p>
    <w:p>
      <w:pPr>
        <w:pStyle w:val="19"/>
        <w:ind w:firstLine="1054" w:firstLineChars="328"/>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val="en-US" w:eastAsia="zh-CN"/>
        </w:rPr>
        <w:t>南通高等师范学校附属小学</w:t>
      </w:r>
    </w:p>
    <w:p>
      <w:pPr>
        <w:pStyle w:val="7"/>
        <w:spacing w:line="360" w:lineRule="auto"/>
        <w:ind w:firstLine="560"/>
        <w:jc w:val="center"/>
        <w:rPr>
          <w:rFonts w:ascii="宋体" w:hAnsi="宋体"/>
          <w:b/>
          <w:sz w:val="28"/>
          <w:szCs w:val="24"/>
        </w:rPr>
      </w:pPr>
    </w:p>
    <w:p>
      <w:pPr>
        <w:pStyle w:val="7"/>
        <w:spacing w:line="360" w:lineRule="auto"/>
        <w:ind w:firstLine="1738" w:firstLineChars="541"/>
        <w:rPr>
          <w:rFonts w:ascii="宋体" w:hAnsi="宋体"/>
          <w:b/>
          <w:bCs/>
          <w:sz w:val="32"/>
          <w:szCs w:val="24"/>
        </w:rPr>
      </w:pPr>
      <w:r>
        <w:rPr>
          <w:rFonts w:hint="eastAsia" w:ascii="宋体" w:hAnsi="宋体"/>
          <w:b/>
          <w:bCs/>
          <w:sz w:val="32"/>
          <w:szCs w:val="24"/>
        </w:rPr>
        <w:t>日    期：</w:t>
      </w:r>
      <w:r>
        <w:rPr>
          <w:rFonts w:hint="eastAsia" w:ascii="宋体" w:hAnsi="宋体"/>
          <w:b/>
          <w:bCs/>
          <w:sz w:val="32"/>
          <w:szCs w:val="24"/>
          <w:lang w:eastAsia="zh-CN"/>
        </w:rPr>
        <w:t>2022</w:t>
      </w:r>
      <w:r>
        <w:rPr>
          <w:rFonts w:hint="eastAsia" w:ascii="宋体" w:hAnsi="宋体"/>
          <w:b/>
          <w:bCs/>
          <w:sz w:val="32"/>
          <w:szCs w:val="24"/>
        </w:rPr>
        <w:t>年</w:t>
      </w:r>
      <w:r>
        <w:rPr>
          <w:rFonts w:hint="eastAsia" w:ascii="宋体" w:hAnsi="宋体"/>
          <w:b/>
          <w:bCs/>
          <w:sz w:val="32"/>
          <w:szCs w:val="24"/>
          <w:lang w:val="en-US" w:eastAsia="zh-CN"/>
        </w:rPr>
        <w:t>7月28日</w:t>
      </w:r>
    </w:p>
    <w:p>
      <w:pPr>
        <w:jc w:val="center"/>
        <w:rPr>
          <w:rFonts w:hint="eastAsia" w:ascii="宋体" w:hAnsi="宋体" w:eastAsia="宋体" w:cs="宋体"/>
          <w:b/>
          <w:kern w:val="0"/>
          <w:sz w:val="32"/>
          <w:szCs w:val="32"/>
          <w:lang w:eastAsia="zh-CN"/>
        </w:rPr>
      </w:pPr>
      <w:r>
        <w:rPr>
          <w:rFonts w:ascii="宋体" w:hAnsi="宋体" w:eastAsia="宋体"/>
        </w:rPr>
        <w:br w:type="page"/>
      </w:r>
      <w:bookmarkStart w:id="0" w:name="OLE_LINK1"/>
      <w:r>
        <w:rPr>
          <w:rFonts w:hint="eastAsia" w:ascii="宋体" w:hAnsi="宋体" w:eastAsia="宋体" w:cs="宋体"/>
          <w:b/>
          <w:kern w:val="0"/>
          <w:sz w:val="32"/>
          <w:szCs w:val="32"/>
        </w:rPr>
        <w:t>南通高等师范学校附属小学</w:t>
      </w:r>
      <w:r>
        <w:rPr>
          <w:rFonts w:hint="eastAsia" w:ascii="宋体" w:hAnsi="宋体" w:eastAsia="宋体" w:cs="宋体"/>
          <w:b/>
          <w:kern w:val="0"/>
          <w:sz w:val="32"/>
          <w:szCs w:val="32"/>
          <w:lang w:eastAsia="zh-CN"/>
        </w:rPr>
        <w:t>食堂餐梯更换采购项目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南通高等师范学校附属小学食堂餐梯更换采购项目</w:t>
      </w:r>
      <w:r>
        <w:rPr>
          <w:rFonts w:hint="eastAsia" w:ascii="宋体" w:hAnsi="宋体" w:eastAsia="宋体"/>
          <w:sz w:val="24"/>
          <w:szCs w:val="24"/>
        </w:rPr>
        <w:t>潜在供应商登陆南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w:t>
      </w:r>
      <w:r>
        <w:rPr>
          <w:rStyle w:val="13"/>
          <w:rFonts w:hint="eastAsia" w:ascii="宋体" w:hAnsi="宋体" w:eastAsia="宋体"/>
          <w:sz w:val="24"/>
          <w:szCs w:val="24"/>
          <w:highlight w:val="none"/>
          <w:lang w:eastAsia="zh-CN"/>
        </w:rPr>
        <w:t>2022</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8</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FF0000"/>
          <w:sz w:val="24"/>
          <w:szCs w:val="24"/>
          <w:highlight w:val="none"/>
          <w:u w:val="single"/>
          <w:lang w:val="en-US" w:eastAsia="zh-CN"/>
        </w:rPr>
        <w:t>3</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0</w:t>
      </w:r>
      <w:r>
        <w:rPr>
          <w:rFonts w:ascii="宋体" w:hAnsi="宋体" w:eastAsia="宋体"/>
          <w:bCs/>
          <w:sz w:val="24"/>
          <w:szCs w:val="24"/>
          <w:highlight w:val="none"/>
          <w:u w:val="single"/>
        </w:rPr>
        <w:t>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5"/>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val="en-US" w:eastAsia="zh-CN"/>
        </w:rPr>
        <w:t>南通高等师范学校附属小学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南通高等师范学校附属小学食堂餐梯更换采购项目</w:t>
      </w:r>
      <w:r>
        <w:rPr>
          <w:rFonts w:hint="eastAsia" w:ascii="宋体" w:hAnsi="宋体" w:eastAsia="宋体" w:cs="仿宋"/>
          <w:sz w:val="24"/>
          <w:szCs w:val="24"/>
        </w:rPr>
        <w:t>实施询价采购，欢迎符合条件的供应商参加。</w:t>
      </w:r>
    </w:p>
    <w:p>
      <w:pPr>
        <w:pStyle w:val="5"/>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南通高等师范学校附属小学食堂餐梯更换采购项目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 xml:space="preserve"> 4 </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 xml:space="preserve"> 4 </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、项目内容：南通高等师范学校附属小学</w:t>
      </w:r>
      <w:r>
        <w:rPr>
          <w:rFonts w:hint="eastAsia" w:ascii="宋体" w:hAnsi="宋体" w:eastAsia="宋体"/>
          <w:sz w:val="24"/>
          <w:szCs w:val="24"/>
          <w:lang w:eastAsia="zh-CN"/>
        </w:rPr>
        <w:t>食堂餐梯更换采购项目</w:t>
      </w:r>
      <w:r>
        <w:rPr>
          <w:rFonts w:hint="eastAsia" w:ascii="宋体" w:hAnsi="宋体" w:eastAsia="宋体"/>
          <w:sz w:val="24"/>
          <w:szCs w:val="24"/>
        </w:rPr>
        <w:t>，单位应具有完善的售后服务体系，能够对提供产品提供全面长期优质的售后服务。</w:t>
      </w:r>
    </w:p>
    <w:p>
      <w:pPr>
        <w:spacing w:line="440" w:lineRule="exact"/>
        <w:ind w:firstLine="480" w:firstLineChars="200"/>
        <w:rPr>
          <w:rFonts w:hint="eastAsia" w:ascii="宋体" w:hAnsi="宋体" w:eastAsia="宋体"/>
          <w:sz w:val="24"/>
          <w:szCs w:val="24"/>
        </w:rPr>
      </w:pPr>
      <w:r>
        <w:rPr>
          <w:rFonts w:hint="eastAsia" w:ascii="宋体" w:hAnsi="宋体" w:eastAsia="宋体"/>
          <w:sz w:val="24"/>
          <w:szCs w:val="24"/>
        </w:rPr>
        <w:t>6、</w:t>
      </w:r>
      <w:r>
        <w:rPr>
          <w:rFonts w:hint="eastAsia" w:ascii="宋体" w:hAnsi="宋体" w:eastAsia="宋体" w:cs="宋体"/>
          <w:sz w:val="24"/>
          <w:szCs w:val="24"/>
        </w:rPr>
        <w:t>合同履行期限</w:t>
      </w:r>
      <w:r>
        <w:rPr>
          <w:rFonts w:hint="eastAsia" w:ascii="宋体" w:hAnsi="宋体" w:eastAsia="宋体"/>
          <w:sz w:val="24"/>
          <w:szCs w:val="24"/>
        </w:rPr>
        <w:t>：自合同签订之日起，期限</w:t>
      </w:r>
      <w:r>
        <w:rPr>
          <w:rFonts w:hint="eastAsia" w:ascii="宋体" w:hAnsi="宋体" w:eastAsia="宋体"/>
          <w:sz w:val="24"/>
          <w:szCs w:val="24"/>
          <w:lang w:val="en-US" w:eastAsia="zh-CN"/>
        </w:rPr>
        <w:t>30个工作日安装调试完毕</w:t>
      </w:r>
      <w:r>
        <w:rPr>
          <w:rFonts w:hint="eastAsia"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10"/>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10"/>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10"/>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10"/>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10"/>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10"/>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10"/>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10"/>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10"/>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lang w:eastAsia="zh-CN"/>
        </w:rPr>
        <w:t>2022</w:t>
      </w:r>
      <w:r>
        <w:rPr>
          <w:rFonts w:hint="eastAsia"/>
          <w:b/>
          <w:highlight w:val="none"/>
          <w:shd w:val="clear" w:color="auto" w:fill="FFFFFF"/>
        </w:rPr>
        <w:t>年</w:t>
      </w:r>
      <w:r>
        <w:rPr>
          <w:rFonts w:hint="eastAsia"/>
          <w:b/>
          <w:highlight w:val="none"/>
          <w:u w:val="single"/>
          <w:shd w:val="clear" w:color="auto" w:fill="FFFFFF"/>
          <w:lang w:val="en-US" w:eastAsia="zh-CN"/>
        </w:rPr>
        <w:t>8</w:t>
      </w:r>
      <w:r>
        <w:rPr>
          <w:rFonts w:hint="eastAsia"/>
          <w:b/>
          <w:highlight w:val="none"/>
          <w:shd w:val="clear" w:color="auto" w:fill="FFFFFF"/>
        </w:rPr>
        <w:t>月</w:t>
      </w:r>
      <w:r>
        <w:rPr>
          <w:rFonts w:hint="eastAsia"/>
          <w:b/>
          <w:color w:val="FF0000"/>
          <w:highlight w:val="none"/>
          <w:u w:val="single"/>
          <w:shd w:val="clear" w:color="auto" w:fill="FFFFFF"/>
          <w:lang w:val="en-US" w:eastAsia="zh-CN"/>
        </w:rPr>
        <w:t>3</w:t>
      </w:r>
      <w:r>
        <w:rPr>
          <w:rFonts w:hint="eastAsia"/>
          <w:b/>
          <w:highlight w:val="none"/>
          <w:shd w:val="clear" w:color="auto" w:fill="FFFFFF"/>
        </w:rPr>
        <w:t>日</w:t>
      </w:r>
      <w:r>
        <w:rPr>
          <w:rFonts w:hint="eastAsia"/>
          <w:b/>
          <w:highlight w:val="none"/>
          <w:u w:val="single"/>
          <w:shd w:val="clear" w:color="auto" w:fill="FFFFFF"/>
          <w:lang w:val="en-US" w:eastAsia="zh-CN"/>
        </w:rPr>
        <w:t>9</w:t>
      </w:r>
      <w:r>
        <w:rPr>
          <w:rFonts w:hint="eastAsia"/>
          <w:b/>
          <w:highlight w:val="none"/>
          <w:shd w:val="clear" w:color="auto" w:fill="FFFFFF"/>
        </w:rPr>
        <w:t>时</w:t>
      </w:r>
      <w:r>
        <w:rPr>
          <w:rFonts w:hint="eastAsia"/>
          <w:b/>
          <w:highlight w:val="none"/>
          <w:u w:val="single"/>
          <w:shd w:val="clear" w:color="auto" w:fill="FFFFFF"/>
          <w:lang w:val="en-US" w:eastAsia="zh-CN"/>
        </w:rPr>
        <w:t>0</w:t>
      </w:r>
      <w:r>
        <w:rPr>
          <w:b/>
          <w:highlight w:val="none"/>
          <w:u w:val="single"/>
          <w:shd w:val="clear" w:color="auto" w:fill="FFFFFF"/>
        </w:rPr>
        <w:t>0</w:t>
      </w:r>
      <w:r>
        <w:rPr>
          <w:rFonts w:hint="eastAsia"/>
          <w:b/>
          <w:highlight w:val="none"/>
          <w:u w:val="single"/>
          <w:shd w:val="clear" w:color="auto" w:fill="FFFFFF"/>
        </w:rPr>
        <w:t>分</w:t>
      </w:r>
      <w:r>
        <w:rPr>
          <w:rFonts w:hint="eastAsia"/>
          <w:highlight w:val="none"/>
          <w:shd w:val="clear" w:color="auto" w:fill="FFFFFF"/>
        </w:rPr>
        <w:t>，逾期送达的询价响应文件将不予接收。</w:t>
      </w:r>
    </w:p>
    <w:p>
      <w:pPr>
        <w:pStyle w:val="10"/>
        <w:shd w:val="clear" w:color="auto" w:fill="FFFFFF"/>
        <w:spacing w:before="0" w:beforeAutospacing="0" w:after="0" w:afterAutospacing="0" w:line="440" w:lineRule="exact"/>
        <w:rPr>
          <w:rFonts w:hint="eastAsia" w:eastAsia="宋体" w:cs="Times New Roman"/>
          <w:shd w:val="clear" w:color="auto" w:fill="FFFFFF"/>
          <w:lang w:val="en-US" w:eastAsia="zh-CN"/>
        </w:rPr>
      </w:pPr>
      <w:r>
        <w:rPr>
          <w:rFonts w:hint="eastAsia"/>
          <w:highlight w:val="none"/>
          <w:shd w:val="clear" w:color="auto" w:fill="FFFFFF"/>
        </w:rPr>
        <w:t>地点：</w:t>
      </w:r>
      <w:r>
        <w:rPr>
          <w:rFonts w:hint="eastAsia" w:cs="Times New Roman"/>
          <w:shd w:val="clear" w:color="auto" w:fill="FFFFFF"/>
          <w:lang w:val="en-US" w:eastAsia="zh-CN"/>
        </w:rPr>
        <w:t>南通高等师范学校附属小学大中</w:t>
      </w:r>
      <w:r>
        <w:rPr>
          <w:rFonts w:hint="eastAsia" w:cs="Times New Roman"/>
          <w:shd w:val="clear" w:color="auto" w:fill="FFFFFF"/>
        </w:rPr>
        <w:t>楼</w:t>
      </w:r>
      <w:r>
        <w:rPr>
          <w:rFonts w:hint="eastAsia" w:cs="Times New Roman"/>
          <w:shd w:val="clear" w:color="auto" w:fill="FFFFFF"/>
          <w:lang w:val="en-US" w:eastAsia="zh-CN"/>
        </w:rPr>
        <w:t>五楼</w:t>
      </w:r>
      <w:r>
        <w:rPr>
          <w:rFonts w:hint="eastAsia" w:cs="Times New Roman"/>
          <w:shd w:val="clear" w:color="auto" w:fill="FFFFFF"/>
        </w:rPr>
        <w:t>会议室</w:t>
      </w:r>
      <w:r>
        <w:rPr>
          <w:rFonts w:hint="eastAsia" w:cs="Times New Roman"/>
          <w:shd w:val="clear" w:color="auto" w:fill="FFFFFF"/>
          <w:lang w:val="en-US" w:eastAsia="zh-CN"/>
        </w:rPr>
        <w:t>二。</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lang w:eastAsia="zh-CN"/>
        </w:rPr>
        <w:t>2022</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8</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3</w:t>
      </w:r>
      <w:r>
        <w:rPr>
          <w:rFonts w:hint="eastAsia" w:ascii="宋体" w:hAnsi="宋体" w:eastAsia="宋体"/>
          <w:b/>
          <w:sz w:val="24"/>
          <w:szCs w:val="24"/>
          <w:highlight w:val="none"/>
          <w:u w:val="single"/>
        </w:rPr>
        <w:t>日</w:t>
      </w:r>
      <w:r>
        <w:rPr>
          <w:rFonts w:hint="eastAsia" w:ascii="宋体" w:hAnsi="宋体" w:eastAsia="宋体"/>
          <w:b/>
          <w:sz w:val="24"/>
          <w:szCs w:val="24"/>
          <w:highlight w:val="none"/>
          <w:u w:val="single"/>
          <w:lang w:val="en-US" w:eastAsia="zh-CN"/>
        </w:rPr>
        <w:t>9</w:t>
      </w:r>
      <w:r>
        <w:rPr>
          <w:rFonts w:hint="eastAsia" w:ascii="宋体" w:hAnsi="宋体" w:eastAsia="宋体"/>
          <w:b/>
          <w:sz w:val="24"/>
          <w:szCs w:val="24"/>
          <w:highlight w:val="none"/>
          <w:u w:val="single"/>
        </w:rPr>
        <w:t>时</w:t>
      </w:r>
      <w:r>
        <w:rPr>
          <w:rFonts w:hint="eastAsia" w:ascii="宋体" w:hAnsi="宋体" w:eastAsia="宋体"/>
          <w:b/>
          <w:sz w:val="24"/>
          <w:szCs w:val="24"/>
          <w:highlight w:val="none"/>
          <w:u w:val="single"/>
          <w:lang w:val="en-US" w:eastAsia="zh-CN"/>
        </w:rPr>
        <w:t>0</w:t>
      </w:r>
      <w:r>
        <w:rPr>
          <w:rFonts w:hint="eastAsia" w:ascii="宋体" w:hAnsi="宋体" w:eastAsia="宋体"/>
          <w:b/>
          <w:sz w:val="24"/>
          <w:szCs w:val="24"/>
          <w:highlight w:val="none"/>
          <w:u w:val="single"/>
        </w:rPr>
        <w:t>0分</w:t>
      </w:r>
    </w:p>
    <w:p>
      <w:pPr>
        <w:pStyle w:val="10"/>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w:t>
      </w:r>
      <w:r>
        <w:rPr>
          <w:rFonts w:hint="eastAsia" w:cs="Times New Roman"/>
          <w:kern w:val="2"/>
          <w:lang w:val="en-US" w:eastAsia="zh-CN"/>
        </w:rPr>
        <w:t>1</w:t>
      </w:r>
      <w:r>
        <w:rPr>
          <w:rFonts w:hint="eastAsia" w:cs="Times New Roman"/>
          <w:kern w:val="2"/>
        </w:rPr>
        <w:t>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10"/>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2、报价为项目的总价，不得将项目拆分或选择性报价；</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10"/>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10"/>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10"/>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val="en-US" w:eastAsia="zh-CN"/>
        </w:rPr>
        <w:t>南通高等师范学校附属小学</w:t>
      </w:r>
    </w:p>
    <w:p>
      <w:pPr>
        <w:pStyle w:val="10"/>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周</w:t>
      </w:r>
      <w:r>
        <w:rPr>
          <w:rFonts w:hint="eastAsia" w:cs="Times New Roman"/>
          <w:bCs/>
          <w:kern w:val="2"/>
          <w:lang w:eastAsia="zh-CN"/>
        </w:rPr>
        <w:t>老师</w:t>
      </w:r>
    </w:p>
    <w:p>
      <w:pPr>
        <w:pStyle w:val="10"/>
        <w:shd w:val="clear" w:color="auto" w:fill="FFFFFF"/>
        <w:spacing w:before="0" w:beforeAutospacing="0" w:after="0" w:afterAutospacing="0" w:line="440" w:lineRule="exact"/>
        <w:ind w:firstLine="482"/>
        <w:rPr>
          <w:rFonts w:hint="eastAsia" w:cs="宋体"/>
          <w:sz w:val="24"/>
          <w:szCs w:val="24"/>
          <w:lang w:val="en-US" w:eastAsia="zh-CN"/>
        </w:rPr>
      </w:pPr>
      <w:r>
        <w:rPr>
          <w:rFonts w:hint="eastAsia" w:cs="Times New Roman"/>
          <w:b/>
          <w:bCs/>
          <w:kern w:val="2"/>
        </w:rPr>
        <w:t>联系电话：</w:t>
      </w:r>
      <w:r>
        <w:rPr>
          <w:rFonts w:hint="eastAsia" w:cs="宋体"/>
          <w:sz w:val="24"/>
          <w:szCs w:val="24"/>
          <w:lang w:val="en-US" w:eastAsia="zh-CN"/>
        </w:rPr>
        <w:t>18068999019</w:t>
      </w:r>
    </w:p>
    <w:p>
      <w:pPr>
        <w:pStyle w:val="10"/>
        <w:shd w:val="clear" w:color="auto" w:fill="FFFFFF"/>
        <w:spacing w:before="0" w:beforeAutospacing="0" w:after="0" w:afterAutospacing="0" w:line="440" w:lineRule="exact"/>
        <w:ind w:right="1928"/>
        <w:rPr>
          <w:rFonts w:hint="eastAsia" w:cs="Times New Roman"/>
          <w:b/>
          <w:kern w:val="2"/>
          <w:lang w:val="en-US" w:eastAsia="zh-CN"/>
        </w:rPr>
      </w:pPr>
      <w:r>
        <w:rPr>
          <w:rFonts w:hint="eastAsia" w:cs="Times New Roman"/>
          <w:b/>
          <w:kern w:val="2"/>
          <w:lang w:val="en-US" w:eastAsia="zh-CN"/>
        </w:rPr>
        <w:t>十二、特别提醒：</w:t>
      </w:r>
    </w:p>
    <w:p>
      <w:pPr>
        <w:pStyle w:val="10"/>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1.到现场投标时，请考虑路途拥堵、停车困难等情况，适当提前到达。</w:t>
      </w:r>
    </w:p>
    <w:p>
      <w:pPr>
        <w:pStyle w:val="10"/>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2.有关本次询价的事项若存在澄清或修改，敬请及时关注“南通开发区教育网”发布的信息更正公告。</w:t>
      </w:r>
    </w:p>
    <w:p>
      <w:pPr>
        <w:pStyle w:val="10"/>
        <w:shd w:val="clear" w:color="auto" w:fill="FFFFFF"/>
        <w:spacing w:before="0" w:beforeAutospacing="0" w:after="0" w:afterAutospacing="0" w:line="440" w:lineRule="exact"/>
        <w:ind w:firstLine="482"/>
        <w:rPr>
          <w:rFonts w:hint="default" w:cs="宋体"/>
          <w:sz w:val="24"/>
          <w:szCs w:val="24"/>
          <w:lang w:val="en-US" w:eastAsia="zh-CN"/>
        </w:rPr>
      </w:pPr>
      <w:r>
        <w:rPr>
          <w:rFonts w:hint="eastAsia" w:cs="Times New Roman"/>
          <w:kern w:val="2"/>
          <w:lang w:val="en-US" w:eastAsia="zh-CN"/>
        </w:rPr>
        <w:t>3.在疫情防控期间一个投标供应商只允许一人进入开标室（法定代表人或委托代理人），并严格执行登记问询制度，请参与开标活动的人员，携带有效身份证件，规范佩戴口罩，接受实名登记、体温检测和出示有效行程码和苏康码，自觉服从和配合现场工作人员调度安排，并在交易活动现场注意与他人保持安全距离、减少逗留时间。如是中、高风险地区投标单位请提前3天联系招标代理人员。</w:t>
      </w:r>
    </w:p>
    <w:p>
      <w:pPr>
        <w:pStyle w:val="10"/>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lang w:val="en-US" w:eastAsia="zh-CN"/>
        </w:rPr>
      </w:pPr>
      <w:r>
        <w:rPr>
          <w:rFonts w:hint="eastAsia"/>
          <w:lang w:val="en-US" w:eastAsia="zh-CN"/>
        </w:rPr>
        <w:t>南通高等师范学校附属小学</w:t>
      </w:r>
    </w:p>
    <w:p>
      <w:pPr>
        <w:pStyle w:val="19"/>
        <w:ind w:right="964" w:firstLine="0"/>
        <w:jc w:val="right"/>
        <w:rPr>
          <w:rFonts w:hint="eastAsia" w:ascii="宋体" w:hAnsi="宋体" w:eastAsia="宋体"/>
          <w:b/>
          <w:kern w:val="2"/>
          <w:lang w:eastAsia="zh-CN"/>
        </w:rPr>
      </w:pPr>
      <w:r>
        <w:rPr>
          <w:rFonts w:hint="eastAsia" w:ascii="宋体" w:hAnsi="宋体"/>
          <w:b/>
          <w:kern w:val="2"/>
          <w:lang w:eastAsia="zh-CN"/>
        </w:rPr>
        <w:t>2022</w:t>
      </w:r>
      <w:r>
        <w:rPr>
          <w:rFonts w:hint="eastAsia" w:ascii="宋体" w:hAnsi="宋体"/>
          <w:b/>
          <w:kern w:val="2"/>
        </w:rPr>
        <w:t>年</w:t>
      </w:r>
      <w:bookmarkEnd w:id="0"/>
      <w:r>
        <w:rPr>
          <w:rFonts w:hint="eastAsia" w:ascii="宋体" w:hAnsi="宋体"/>
          <w:b/>
          <w:kern w:val="2"/>
          <w:lang w:eastAsia="zh-CN"/>
        </w:rPr>
        <w:t>7月</w:t>
      </w:r>
      <w:r>
        <w:rPr>
          <w:rFonts w:hint="eastAsia" w:ascii="宋体" w:hAnsi="宋体"/>
          <w:b/>
          <w:kern w:val="2"/>
          <w:lang w:val="en-US" w:eastAsia="zh-CN"/>
        </w:rPr>
        <w:t>28</w:t>
      </w:r>
      <w:r>
        <w:rPr>
          <w:rFonts w:hint="eastAsia" w:ascii="宋体" w:hAnsi="宋体"/>
          <w:b/>
          <w:kern w:val="2"/>
          <w:lang w:eastAsia="zh-CN"/>
        </w:rPr>
        <w:t>日</w:t>
      </w:r>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0"/>
        </w:numPr>
        <w:ind w:leftChars="0"/>
        <w:jc w:val="center"/>
        <w:rPr>
          <w:rFonts w:ascii="宋体" w:hAnsi="宋体" w:eastAsia="宋体"/>
          <w:b/>
          <w:sz w:val="32"/>
          <w:szCs w:val="32"/>
        </w:rPr>
      </w:pPr>
      <w:r>
        <w:rPr>
          <w:rFonts w:hint="eastAsia" w:ascii="宋体" w:hAnsi="宋体" w:eastAsia="宋体"/>
          <w:b/>
          <w:sz w:val="32"/>
          <w:szCs w:val="32"/>
        </w:rPr>
        <w:t>项目需求</w:t>
      </w:r>
    </w:p>
    <w:p>
      <w:pPr>
        <w:numPr>
          <w:ilvl w:val="0"/>
          <w:numId w:val="0"/>
        </w:numPr>
        <w:rPr>
          <w:rFonts w:hint="eastAsia"/>
          <w:sz w:val="28"/>
          <w:szCs w:val="28"/>
        </w:rPr>
      </w:pPr>
      <w:bookmarkStart w:id="1" w:name="_Toc482279881"/>
      <w:r>
        <w:rPr>
          <w:rFonts w:hint="eastAsia"/>
          <w:sz w:val="28"/>
          <w:szCs w:val="28"/>
          <w:lang w:val="en-US" w:eastAsia="zh-CN"/>
        </w:rPr>
        <w:t>一、</w:t>
      </w:r>
      <w:r>
        <w:rPr>
          <w:rFonts w:hint="eastAsia"/>
          <w:sz w:val="28"/>
          <w:szCs w:val="28"/>
        </w:rPr>
        <w:t>施工范围：</w:t>
      </w:r>
      <w:r>
        <w:rPr>
          <w:rFonts w:hint="eastAsia"/>
          <w:sz w:val="28"/>
          <w:szCs w:val="28"/>
          <w:lang w:val="en-US" w:eastAsia="zh-CN"/>
        </w:rPr>
        <w:t>学校食堂2</w:t>
      </w:r>
      <w:r>
        <w:rPr>
          <w:rFonts w:hint="eastAsia"/>
          <w:sz w:val="28"/>
          <w:szCs w:val="28"/>
          <w:lang w:eastAsia="zh-CN"/>
        </w:rPr>
        <w:t>层</w:t>
      </w:r>
      <w:r>
        <w:rPr>
          <w:rFonts w:hint="eastAsia"/>
          <w:sz w:val="28"/>
          <w:szCs w:val="28"/>
          <w:lang w:val="en-US" w:eastAsia="zh-CN"/>
        </w:rPr>
        <w:t>2</w:t>
      </w:r>
      <w:r>
        <w:rPr>
          <w:rFonts w:hint="eastAsia"/>
          <w:sz w:val="28"/>
          <w:szCs w:val="28"/>
          <w:lang w:eastAsia="zh-CN"/>
        </w:rPr>
        <w:t>站</w:t>
      </w:r>
      <w:r>
        <w:rPr>
          <w:rFonts w:hint="eastAsia"/>
          <w:sz w:val="28"/>
          <w:szCs w:val="28"/>
          <w:lang w:val="en-US" w:eastAsia="zh-CN"/>
        </w:rPr>
        <w:t>2</w:t>
      </w:r>
      <w:r>
        <w:rPr>
          <w:rFonts w:hint="eastAsia"/>
          <w:sz w:val="28"/>
          <w:szCs w:val="28"/>
          <w:lang w:eastAsia="zh-CN"/>
        </w:rPr>
        <w:t>门，工期：</w:t>
      </w:r>
      <w:r>
        <w:rPr>
          <w:rFonts w:hint="eastAsia"/>
          <w:sz w:val="28"/>
          <w:szCs w:val="28"/>
          <w:lang w:val="en-US" w:eastAsia="zh-CN"/>
        </w:rPr>
        <w:t>30天安装调试完毕</w:t>
      </w:r>
      <w:r>
        <w:rPr>
          <w:rFonts w:hint="eastAsia"/>
          <w:sz w:val="28"/>
          <w:szCs w:val="28"/>
        </w:rPr>
        <w:t>。</w:t>
      </w:r>
    </w:p>
    <w:p>
      <w:pPr>
        <w:numPr>
          <w:ilvl w:val="0"/>
          <w:numId w:val="0"/>
        </w:numPr>
        <w:rPr>
          <w:rFonts w:hint="eastAsia"/>
          <w:sz w:val="28"/>
          <w:szCs w:val="28"/>
          <w:lang w:val="en-US" w:eastAsia="zh-CN"/>
        </w:rPr>
      </w:pPr>
      <w:r>
        <w:rPr>
          <w:rFonts w:hint="eastAsia"/>
          <w:sz w:val="28"/>
          <w:szCs w:val="28"/>
          <w:lang w:val="en-US" w:eastAsia="zh-CN"/>
        </w:rPr>
        <w:t>二、食堂新餐梯主要功能及安全装置</w:t>
      </w:r>
    </w:p>
    <w:p>
      <w:pPr>
        <w:spacing w:line="420" w:lineRule="exact"/>
        <w:ind w:firstLine="548" w:firstLineChars="196"/>
        <w:rPr>
          <w:rFonts w:hint="eastAsia" w:ascii="黑体" w:hAnsi="黑体" w:eastAsia="黑体" w:cs="黑体"/>
          <w:b/>
          <w:color w:val="000000"/>
          <w:sz w:val="28"/>
          <w:szCs w:val="28"/>
        </w:rPr>
      </w:pPr>
      <w:r>
        <w:rPr>
          <w:rFonts w:hint="eastAsia" w:ascii="黑体" w:hAnsi="黑体" w:eastAsia="黑体" w:cs="黑体"/>
          <w:sz w:val="28"/>
          <w:szCs w:val="28"/>
        </w:rPr>
        <w:t>（一）、</w:t>
      </w:r>
      <w:r>
        <w:rPr>
          <w:rFonts w:hint="eastAsia" w:ascii="黑体" w:hAnsi="黑体" w:eastAsia="黑体" w:cs="黑体"/>
          <w:b/>
          <w:color w:val="000000"/>
          <w:sz w:val="28"/>
          <w:szCs w:val="28"/>
        </w:rPr>
        <w:t>电梯的技术规格和要求</w:t>
      </w:r>
    </w:p>
    <w:tbl>
      <w:tblPr>
        <w:tblStyle w:val="11"/>
        <w:tblW w:w="9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7"/>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bCs/>
                <w:color w:val="000000"/>
                <w:sz w:val="24"/>
                <w:szCs w:val="24"/>
              </w:rPr>
            </w:pPr>
            <w:r>
              <w:rPr>
                <w:rFonts w:hint="eastAsia" w:ascii="宋体" w:hAnsi="宋体"/>
                <w:b/>
                <w:bCs/>
                <w:color w:val="000000"/>
                <w:sz w:val="24"/>
                <w:szCs w:val="24"/>
              </w:rPr>
              <w:t>项目</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color w:val="000000"/>
                <w:sz w:val="24"/>
                <w:szCs w:val="24"/>
              </w:rPr>
            </w:pPr>
            <w:r>
              <w:rPr>
                <w:rFonts w:hint="eastAsia" w:ascii="宋体" w:hAnsi="宋体"/>
                <w:b/>
                <w:bCs/>
                <w:color w:val="000000"/>
                <w:sz w:val="24"/>
                <w:szCs w:val="24"/>
              </w:rPr>
              <w:t>餐梯规格、参数及技术要求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电梯数量（台）</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操作系统</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单台控制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控制系统</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sz w:val="24"/>
                <w:szCs w:val="24"/>
              </w:rPr>
              <w:t>先进的全电脑控制技术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拖动系统</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sz w:val="24"/>
                <w:szCs w:val="24"/>
              </w:rPr>
              <w:t>异步电机驱动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曳引机位置</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sz w:val="24"/>
                <w:szCs w:val="24"/>
              </w:rPr>
              <w:t>上置（无机房）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额定载重量（kg）</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00（kg）</w:t>
            </w:r>
            <w:r>
              <w:rPr>
                <w:rFonts w:hint="eastAsia" w:ascii="宋体" w:hAnsi="宋体" w:eastAsia="宋体" w:cs="宋体"/>
                <w:color w:val="000000"/>
                <w:sz w:val="24"/>
                <w:szCs w:val="24"/>
                <w:lang w:val="en-US" w:eastAsia="zh-CN"/>
              </w:rPr>
              <w:t>落地式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速度（m/s）</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0.4（m/s）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服务楼层</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层</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站</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基站</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sz w:val="24"/>
                <w:szCs w:val="24"/>
              </w:rPr>
              <w:t>提升高度：</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顶层高度（mm）</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eastAsia="zh-CN"/>
              </w:rPr>
              <w:t>&gt;3200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贯通</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单通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底坑深度（mm）</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sz w:val="24"/>
                <w:szCs w:val="24"/>
                <w:lang w:val="en-US" w:eastAsia="zh-CN"/>
              </w:rPr>
              <w:t>1000</w:t>
            </w:r>
            <w:r>
              <w:rPr>
                <w:rFonts w:hint="eastAsia" w:ascii="宋体" w:hAnsi="宋体" w:eastAsia="宋体" w:cs="宋体"/>
                <w:sz w:val="24"/>
                <w:szCs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井道尺寸（mm）</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120</w:t>
            </w:r>
            <w:r>
              <w:rPr>
                <w:rFonts w:hint="eastAsia" w:ascii="宋体" w:hAnsi="宋体" w:eastAsia="宋体" w:cs="宋体"/>
                <w:sz w:val="24"/>
                <w:szCs w:val="24"/>
              </w:rPr>
              <w:t>0*</w:t>
            </w:r>
            <w:r>
              <w:rPr>
                <w:rFonts w:hint="eastAsia" w:ascii="宋体" w:hAnsi="宋体" w:eastAsia="宋体" w:cs="宋体"/>
                <w:sz w:val="24"/>
                <w:szCs w:val="24"/>
                <w:lang w:val="en-US" w:eastAsia="zh-CN"/>
              </w:rPr>
              <w:t>125</w:t>
            </w:r>
            <w:r>
              <w:rPr>
                <w:rFonts w:hint="eastAsia" w:ascii="宋体" w:hAnsi="宋体" w:eastAsia="宋体" w:cs="宋体"/>
                <w:sz w:val="24"/>
                <w:szCs w:val="24"/>
              </w:rPr>
              <w:t>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轿厢尺寸（mm）</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(宽×深×</w:t>
            </w:r>
            <w:r>
              <w:rPr>
                <w:rFonts w:hint="eastAsia" w:ascii="宋体" w:hAnsi="宋体" w:eastAsia="宋体" w:cs="宋体"/>
                <w:sz w:val="24"/>
                <w:szCs w:val="24"/>
                <w:lang w:eastAsia="zh-CN"/>
              </w:rPr>
              <w:t>高</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70</w:t>
            </w:r>
            <w:r>
              <w:rPr>
                <w:rFonts w:hint="eastAsia" w:ascii="宋体" w:hAnsi="宋体" w:eastAsia="宋体" w:cs="宋体"/>
                <w:sz w:val="24"/>
                <w:szCs w:val="24"/>
              </w:rPr>
              <w:t>0*</w:t>
            </w:r>
            <w:r>
              <w:rPr>
                <w:rFonts w:hint="eastAsia" w:ascii="宋体" w:hAnsi="宋体" w:eastAsia="宋体" w:cs="宋体"/>
                <w:sz w:val="24"/>
                <w:szCs w:val="24"/>
                <w:lang w:val="en-US" w:eastAsia="zh-CN"/>
              </w:rPr>
              <w:t>100</w:t>
            </w:r>
            <w:r>
              <w:rPr>
                <w:rFonts w:hint="eastAsia" w:ascii="宋体" w:hAnsi="宋体" w:eastAsia="宋体" w:cs="宋体"/>
                <w:sz w:val="24"/>
                <w:szCs w:val="24"/>
              </w:rPr>
              <w:t>0*1200mm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门洞</w:t>
            </w:r>
            <w:r>
              <w:rPr>
                <w:rFonts w:hint="eastAsia" w:ascii="宋体" w:hAnsi="宋体" w:eastAsia="宋体" w:cs="宋体"/>
                <w:color w:val="000000"/>
                <w:sz w:val="24"/>
                <w:szCs w:val="24"/>
                <w:lang w:eastAsia="zh-CN"/>
              </w:rPr>
              <w:t>净</w:t>
            </w:r>
            <w:r>
              <w:rPr>
                <w:rFonts w:hint="eastAsia" w:ascii="宋体" w:hAnsi="宋体" w:eastAsia="宋体" w:cs="宋体"/>
                <w:color w:val="000000"/>
                <w:sz w:val="24"/>
                <w:szCs w:val="24"/>
              </w:rPr>
              <w:t>尺寸（mm）</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sz w:val="24"/>
                <w:szCs w:val="24"/>
              </w:rPr>
              <w:t>(宽×</w:t>
            </w:r>
            <w:r>
              <w:rPr>
                <w:rFonts w:hint="eastAsia" w:ascii="宋体" w:hAnsi="宋体" w:eastAsia="宋体" w:cs="宋体"/>
                <w:sz w:val="24"/>
                <w:szCs w:val="24"/>
                <w:lang w:eastAsia="zh-CN"/>
              </w:rPr>
              <w:t>高</w:t>
            </w:r>
            <w:r>
              <w:rPr>
                <w:rFonts w:hint="eastAsia" w:ascii="宋体" w:hAnsi="宋体" w:eastAsia="宋体" w:cs="宋体"/>
                <w:sz w:val="24"/>
                <w:szCs w:val="24"/>
              </w:rPr>
              <w:t>)</w:t>
            </w:r>
            <w:r>
              <w:rPr>
                <w:rFonts w:hint="eastAsia" w:ascii="宋体" w:hAnsi="宋体" w:eastAsia="宋体" w:cs="宋体"/>
                <w:sz w:val="24"/>
                <w:szCs w:val="24"/>
                <w:lang w:val="en-US" w:eastAsia="zh-CN"/>
              </w:rPr>
              <w:t>70</w:t>
            </w:r>
            <w:r>
              <w:rPr>
                <w:rFonts w:hint="eastAsia" w:ascii="宋体" w:hAnsi="宋体" w:eastAsia="宋体" w:cs="宋体"/>
                <w:sz w:val="24"/>
                <w:szCs w:val="24"/>
              </w:rPr>
              <w:t>0*1200mm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开门方式</w:t>
            </w:r>
          </w:p>
        </w:tc>
        <w:tc>
          <w:tcPr>
            <w:tcW w:w="643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000000"/>
                <w:sz w:val="24"/>
                <w:szCs w:val="24"/>
              </w:rPr>
            </w:pPr>
            <w:r>
              <w:rPr>
                <w:rFonts w:hint="eastAsia" w:ascii="宋体" w:hAnsi="宋体" w:eastAsia="宋体" w:cs="宋体"/>
                <w:color w:val="auto"/>
                <w:sz w:val="24"/>
                <w:szCs w:val="24"/>
              </w:rPr>
              <w:t>手动</w:t>
            </w:r>
            <w:r>
              <w:rPr>
                <w:rFonts w:hint="eastAsia" w:ascii="宋体" w:hAnsi="宋体" w:eastAsia="宋体" w:cs="宋体"/>
                <w:color w:val="auto"/>
                <w:sz w:val="24"/>
                <w:szCs w:val="24"/>
                <w:lang w:val="en-US" w:eastAsia="zh-CN"/>
              </w:rPr>
              <w:t>垂直中</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轿门</w:t>
            </w:r>
          </w:p>
        </w:tc>
        <w:tc>
          <w:tcPr>
            <w:tcW w:w="6434"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hint="eastAsia" w:ascii="宋体" w:hAnsi="宋体" w:eastAsia="宋体" w:cs="宋体"/>
                <w:color w:val="000000"/>
                <w:sz w:val="24"/>
                <w:szCs w:val="24"/>
              </w:rPr>
            </w:pPr>
            <w:r>
              <w:rPr>
                <w:rFonts w:hint="eastAsia" w:ascii="宋体" w:hAnsi="宋体" w:eastAsia="宋体" w:cs="宋体"/>
                <w:sz w:val="24"/>
                <w:szCs w:val="24"/>
              </w:rPr>
              <w:t>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厅门</w:t>
            </w:r>
          </w:p>
        </w:tc>
        <w:tc>
          <w:tcPr>
            <w:tcW w:w="6434"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hint="eastAsia" w:ascii="宋体" w:hAnsi="宋体" w:eastAsia="宋体" w:cs="宋体"/>
                <w:color w:val="000000"/>
                <w:sz w:val="24"/>
                <w:szCs w:val="24"/>
              </w:rPr>
            </w:pPr>
            <w:r>
              <w:rPr>
                <w:rFonts w:hint="eastAsia" w:ascii="宋体" w:hAnsi="宋体" w:eastAsia="宋体" w:cs="宋体"/>
                <w:sz w:val="24"/>
                <w:szCs w:val="24"/>
              </w:rPr>
              <w:t>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轿厢壁材料</w:t>
            </w:r>
          </w:p>
        </w:tc>
        <w:tc>
          <w:tcPr>
            <w:tcW w:w="6434"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hint="eastAsia" w:ascii="宋体" w:hAnsi="宋体" w:eastAsia="宋体" w:cs="宋体"/>
                <w:color w:val="000000"/>
                <w:sz w:val="24"/>
                <w:szCs w:val="24"/>
              </w:rPr>
            </w:pPr>
            <w:r>
              <w:rPr>
                <w:rFonts w:hint="eastAsia" w:ascii="宋体" w:hAnsi="宋体" w:eastAsia="宋体" w:cs="宋体"/>
                <w:sz w:val="24"/>
                <w:szCs w:val="24"/>
              </w:rPr>
              <w:t>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轿厢地板</w:t>
            </w:r>
          </w:p>
        </w:tc>
        <w:tc>
          <w:tcPr>
            <w:tcW w:w="6434"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hint="eastAsia" w:ascii="宋体" w:hAnsi="宋体" w:eastAsia="宋体" w:cs="宋体"/>
                <w:color w:val="000000"/>
                <w:sz w:val="24"/>
                <w:szCs w:val="24"/>
              </w:rPr>
            </w:pPr>
            <w:r>
              <w:rPr>
                <w:rFonts w:hint="eastAsia" w:ascii="宋体" w:hAnsi="宋体" w:eastAsia="宋体" w:cs="宋体"/>
                <w:sz w:val="24"/>
                <w:szCs w:val="24"/>
              </w:rPr>
              <w:t>发纹防滑不锈钢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候梯厅显示</w:t>
            </w:r>
          </w:p>
        </w:tc>
        <w:tc>
          <w:tcPr>
            <w:tcW w:w="6434"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hint="eastAsia" w:ascii="宋体" w:hAnsi="宋体" w:eastAsia="宋体" w:cs="宋体"/>
                <w:color w:val="000000"/>
                <w:sz w:val="24"/>
                <w:szCs w:val="24"/>
              </w:rPr>
            </w:pPr>
            <w:r>
              <w:rPr>
                <w:rFonts w:hint="eastAsia" w:ascii="宋体" w:hAnsi="宋体" w:eastAsia="宋体" w:cs="宋体"/>
                <w:sz w:val="24"/>
                <w:szCs w:val="24"/>
              </w:rPr>
              <w:t>电子数码层楼显示器及微动按钮配发纹不锈钢面板组成的一体化呼梯装置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2777" w:type="dxa"/>
            <w:vMerge w:val="restart"/>
            <w:tcBorders>
              <w:top w:val="nil"/>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四、电力提供</w:t>
            </w:r>
          </w:p>
        </w:tc>
        <w:tc>
          <w:tcPr>
            <w:tcW w:w="6434"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 xml:space="preserve">1.动力电源：a)电压：380V±7%       b)频率：50HZ </w:t>
            </w:r>
          </w:p>
          <w:p>
            <w:pPr>
              <w:spacing w:line="360" w:lineRule="exact"/>
              <w:ind w:firstLine="1416" w:firstLineChars="590"/>
              <w:rPr>
                <w:rFonts w:hint="eastAsia" w:ascii="宋体" w:hAnsi="宋体" w:eastAsia="宋体" w:cs="宋体"/>
                <w:sz w:val="24"/>
                <w:szCs w:val="24"/>
              </w:rPr>
            </w:pPr>
            <w:r>
              <w:rPr>
                <w:rFonts w:hint="eastAsia" w:ascii="宋体" w:hAnsi="宋体" w:eastAsia="宋体" w:cs="宋体"/>
                <w:sz w:val="24"/>
                <w:szCs w:val="24"/>
              </w:rPr>
              <w:t>c)相数：3相5线制，零线和地线始终分开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77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color w:val="000000"/>
                <w:sz w:val="24"/>
                <w:szCs w:val="24"/>
              </w:rPr>
            </w:pPr>
          </w:p>
        </w:tc>
        <w:tc>
          <w:tcPr>
            <w:tcW w:w="6434"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2.照明电源：a)电压：220V  b)频率：50HZ  c)相数：单相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77" w:type="dxa"/>
            <w:vMerge w:val="restart"/>
            <w:tcBorders>
              <w:top w:val="nil"/>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其他要求</w:t>
            </w:r>
          </w:p>
        </w:tc>
        <w:tc>
          <w:tcPr>
            <w:tcW w:w="6434" w:type="dxa"/>
            <w:tcBorders>
              <w:top w:val="single" w:color="auto" w:sz="4" w:space="0"/>
              <w:left w:val="nil"/>
              <w:bottom w:val="single" w:color="auto" w:sz="4" w:space="0"/>
              <w:right w:val="single" w:color="auto" w:sz="4" w:space="0"/>
            </w:tcBorders>
            <w:vAlign w:val="center"/>
          </w:tcPr>
          <w:p>
            <w:pPr>
              <w:numPr>
                <w:ilvl w:val="0"/>
                <w:numId w:val="1"/>
              </w:numPr>
              <w:snapToGrid w:val="0"/>
              <w:spacing w:line="360" w:lineRule="exact"/>
              <w:jc w:val="left"/>
              <w:rPr>
                <w:rFonts w:hint="eastAsia" w:ascii="宋体" w:hAnsi="宋体" w:eastAsia="宋体" w:cs="宋体"/>
                <w:b w:val="0"/>
                <w:bCs w:val="0"/>
                <w:color w:val="FF0000"/>
                <w:sz w:val="24"/>
                <w:szCs w:val="24"/>
                <w:lang w:val="en-US" w:eastAsia="zh-CN"/>
              </w:rPr>
            </w:pPr>
            <w:r>
              <w:rPr>
                <w:rFonts w:hint="eastAsia" w:ascii="宋体" w:hAnsi="宋体" w:eastAsia="宋体" w:cs="宋体"/>
                <w:b w:val="0"/>
                <w:bCs w:val="0"/>
                <w:color w:val="FF0000"/>
                <w:sz w:val="24"/>
                <w:szCs w:val="24"/>
                <w:lang w:val="en-US" w:eastAsia="zh-CN"/>
              </w:rPr>
              <w:t>原餐梯须拆除；</w:t>
            </w:r>
          </w:p>
          <w:p>
            <w:pPr>
              <w:pStyle w:val="2"/>
              <w:numPr>
                <w:ilvl w:val="0"/>
                <w:numId w:val="1"/>
              </w:numPr>
              <w:ind w:left="0" w:leftChars="0" w:firstLine="0" w:firstLineChars="0"/>
              <w:jc w:val="left"/>
              <w:rPr>
                <w:rFonts w:hint="eastAsia" w:ascii="宋体" w:hAnsi="宋体" w:eastAsia="宋体" w:cs="宋体"/>
                <w:b w:val="0"/>
                <w:bCs w:val="0"/>
                <w:color w:val="FF0000"/>
                <w:sz w:val="24"/>
                <w:szCs w:val="24"/>
                <w:lang w:val="en-US" w:eastAsia="zh-CN"/>
              </w:rPr>
            </w:pPr>
            <w:r>
              <w:rPr>
                <w:rFonts w:hint="eastAsia" w:ascii="宋体" w:hAnsi="宋体" w:eastAsia="宋体" w:cs="宋体"/>
                <w:b w:val="0"/>
                <w:bCs w:val="0"/>
                <w:color w:val="FF0000"/>
                <w:sz w:val="24"/>
                <w:szCs w:val="24"/>
                <w:lang w:val="en-US" w:eastAsia="zh-CN"/>
              </w:rPr>
              <w:t>原窗台式餐梯改为落地式餐梯。</w:t>
            </w:r>
          </w:p>
          <w:p>
            <w:pPr>
              <w:pStyle w:val="2"/>
              <w:numPr>
                <w:ilvl w:val="0"/>
                <w:numId w:val="0"/>
              </w:numPr>
              <w:ind w:leftChars="0"/>
              <w:jc w:val="left"/>
              <w:rPr>
                <w:rFonts w:hint="eastAsia" w:ascii="宋体" w:hAnsi="宋体" w:eastAsia="宋体" w:cs="宋体"/>
                <w:b w:val="0"/>
                <w:bCs w:val="0"/>
                <w:color w:val="FF0000"/>
                <w:sz w:val="24"/>
                <w:szCs w:val="24"/>
                <w:lang w:val="en-US" w:eastAsia="zh-CN"/>
              </w:rPr>
            </w:pPr>
            <w:bookmarkStart w:id="2" w:name="_GoBack"/>
            <w:r>
              <w:rPr>
                <w:rFonts w:hint="eastAsia" w:ascii="宋体" w:hAnsi="宋体" w:eastAsia="宋体" w:cs="宋体"/>
                <w:b/>
                <w:bCs/>
                <w:color w:val="FF0000"/>
                <w:sz w:val="24"/>
                <w:szCs w:val="24"/>
                <w:lang w:val="en-US" w:eastAsia="zh-CN"/>
              </w:rPr>
              <w:t>（投标单位须提前联系，现场勘察）</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77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color w:val="000000"/>
                <w:sz w:val="24"/>
                <w:szCs w:val="24"/>
              </w:rPr>
            </w:pPr>
          </w:p>
        </w:tc>
        <w:tc>
          <w:tcPr>
            <w:tcW w:w="6434" w:type="dxa"/>
            <w:tcBorders>
              <w:top w:val="single" w:color="auto" w:sz="4" w:space="0"/>
              <w:left w:val="nil"/>
              <w:bottom w:val="single" w:color="auto" w:sz="4" w:space="0"/>
              <w:right w:val="single" w:color="auto" w:sz="4" w:space="0"/>
            </w:tcBorders>
            <w:vAlign w:val="center"/>
          </w:tcPr>
          <w:p>
            <w:pPr>
              <w:snapToGrid w:val="0"/>
              <w:spacing w:line="360" w:lineRule="exact"/>
              <w:jc w:val="left"/>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rPr>
              <w:t>投标单位自行考虑导轨二端接地、井道照明等，报价须包含在内。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77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color w:val="000000"/>
                <w:sz w:val="24"/>
                <w:szCs w:val="24"/>
              </w:rPr>
            </w:pPr>
          </w:p>
        </w:tc>
        <w:tc>
          <w:tcPr>
            <w:tcW w:w="6434" w:type="dxa"/>
            <w:tcBorders>
              <w:top w:val="single" w:color="auto" w:sz="4" w:space="0"/>
              <w:left w:val="nil"/>
              <w:bottom w:val="single" w:color="auto" w:sz="4" w:space="0"/>
              <w:right w:val="single" w:color="auto" w:sz="4" w:space="0"/>
            </w:tcBorders>
            <w:vAlign w:val="center"/>
          </w:tcPr>
          <w:p>
            <w:pPr>
              <w:snapToGrid w:val="0"/>
              <w:spacing w:line="360" w:lineRule="exact"/>
              <w:jc w:val="left"/>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rPr>
              <w:t>预埋铁块</w:t>
            </w:r>
            <w:r>
              <w:rPr>
                <w:rFonts w:hint="eastAsia" w:ascii="宋体" w:hAnsi="宋体" w:eastAsia="宋体" w:cs="宋体"/>
                <w:b w:val="0"/>
                <w:bCs w:val="0"/>
                <w:color w:val="FF0000"/>
                <w:sz w:val="24"/>
                <w:szCs w:val="24"/>
                <w:lang w:eastAsia="zh-CN"/>
              </w:rPr>
              <w:t>、</w:t>
            </w:r>
            <w:r>
              <w:rPr>
                <w:rFonts w:hint="eastAsia" w:ascii="宋体" w:hAnsi="宋体" w:eastAsia="宋体" w:cs="宋体"/>
                <w:b w:val="0"/>
                <w:bCs w:val="0"/>
                <w:color w:val="FF0000"/>
                <w:sz w:val="24"/>
                <w:szCs w:val="24"/>
              </w:rPr>
              <w:t>钢套管由中标单位完成，报价须包含在内。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color w:val="000000"/>
                <w:sz w:val="24"/>
                <w:szCs w:val="24"/>
              </w:rPr>
            </w:pPr>
          </w:p>
        </w:tc>
        <w:tc>
          <w:tcPr>
            <w:tcW w:w="6434" w:type="dxa"/>
            <w:tcBorders>
              <w:top w:val="single" w:color="auto" w:sz="4" w:space="0"/>
              <w:left w:val="nil"/>
              <w:bottom w:val="single" w:color="auto" w:sz="4" w:space="0"/>
              <w:right w:val="single" w:color="auto" w:sz="4" w:space="0"/>
            </w:tcBorders>
            <w:vAlign w:val="center"/>
          </w:tcPr>
          <w:p>
            <w:pPr>
              <w:snapToGrid w:val="0"/>
              <w:spacing w:line="360" w:lineRule="exact"/>
              <w:jc w:val="left"/>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rPr>
              <w:t>该项目为全包交钥匙工程（含餐梯全套设备设施的进场运输保管仓储、安装、起重吊装、脚手架、第三方检验费、</w:t>
            </w:r>
            <w:r>
              <w:rPr>
                <w:rFonts w:hint="eastAsia" w:ascii="宋体" w:hAnsi="宋体" w:eastAsia="宋体" w:cs="宋体"/>
                <w:b w:val="0"/>
                <w:bCs w:val="0"/>
                <w:color w:val="FF0000"/>
                <w:sz w:val="24"/>
                <w:szCs w:val="24"/>
                <w:lang w:val="en-US" w:eastAsia="zh-CN"/>
              </w:rPr>
              <w:t>原梯拆除、窗台改造、</w:t>
            </w:r>
            <w:r>
              <w:rPr>
                <w:rFonts w:hint="eastAsia" w:ascii="宋体" w:hAnsi="宋体" w:eastAsia="宋体" w:cs="宋体"/>
                <w:b w:val="0"/>
                <w:bCs w:val="0"/>
                <w:color w:val="FF0000"/>
                <w:sz w:val="24"/>
                <w:szCs w:val="24"/>
              </w:rPr>
              <w:t>垃圾清理并外运</w:t>
            </w:r>
            <w:r>
              <w:rPr>
                <w:rFonts w:hint="eastAsia" w:ascii="宋体" w:hAnsi="宋体" w:eastAsia="宋体" w:cs="宋体"/>
                <w:b w:val="0"/>
                <w:bCs w:val="0"/>
                <w:color w:val="FF0000"/>
                <w:sz w:val="24"/>
                <w:szCs w:val="24"/>
                <w:lang w:eastAsia="zh-CN"/>
              </w:rPr>
              <w:t>，</w:t>
            </w:r>
            <w:r>
              <w:rPr>
                <w:rFonts w:hint="eastAsia" w:ascii="宋体" w:hAnsi="宋体" w:eastAsia="宋体" w:cs="宋体"/>
                <w:b w:val="0"/>
                <w:bCs w:val="0"/>
                <w:color w:val="FF0000"/>
                <w:sz w:val="24"/>
                <w:szCs w:val="24"/>
                <w:lang w:val="en-US" w:eastAsia="zh-CN"/>
              </w:rPr>
              <w:t>两</w:t>
            </w:r>
            <w:r>
              <w:rPr>
                <w:rFonts w:hint="eastAsia" w:ascii="宋体" w:hAnsi="宋体" w:eastAsia="宋体" w:cs="宋体"/>
                <w:b w:val="0"/>
                <w:bCs w:val="0"/>
                <w:color w:val="FF0000"/>
                <w:sz w:val="24"/>
                <w:szCs w:val="24"/>
              </w:rPr>
              <w:t>年免费保修等）。</w:t>
            </w:r>
          </w:p>
        </w:tc>
      </w:tr>
    </w:tbl>
    <w:p>
      <w:pPr>
        <w:pStyle w:val="3"/>
        <w:snapToGrid w:val="0"/>
        <w:spacing w:line="360" w:lineRule="exact"/>
        <w:rPr>
          <w:rFonts w:hint="eastAsia" w:ascii="宋体" w:hAnsi="宋体" w:eastAsia="宋体"/>
          <w:color w:val="000000"/>
          <w:sz w:val="24"/>
          <w:szCs w:val="24"/>
        </w:rPr>
      </w:pPr>
      <w:r>
        <w:rPr>
          <w:rFonts w:hint="eastAsia" w:ascii="宋体" w:hAnsi="宋体" w:eastAsia="宋体"/>
          <w:color w:val="000000"/>
          <w:sz w:val="24"/>
          <w:szCs w:val="24"/>
        </w:rPr>
        <w:t xml:space="preserve"> </w:t>
      </w:r>
    </w:p>
    <w:p>
      <w:pPr>
        <w:spacing w:line="420" w:lineRule="exact"/>
        <w:ind w:firstLine="551" w:firstLineChars="196"/>
        <w:rPr>
          <w:rFonts w:hint="eastAsia" w:ascii="宋体" w:hAnsi="宋体" w:eastAsia="宋体"/>
          <w:b/>
          <w:bCs/>
          <w:sz w:val="28"/>
          <w:szCs w:val="28"/>
          <w:lang w:eastAsia="zh-CN"/>
        </w:rPr>
      </w:pPr>
      <w:r>
        <w:rPr>
          <w:rFonts w:hint="eastAsia" w:ascii="黑体" w:eastAsia="黑体"/>
          <w:b/>
          <w:bCs/>
          <w:sz w:val="28"/>
          <w:szCs w:val="28"/>
        </w:rPr>
        <w:t>（</w:t>
      </w:r>
      <w:r>
        <w:rPr>
          <w:rFonts w:hint="eastAsia" w:ascii="黑体" w:eastAsia="黑体"/>
          <w:b/>
          <w:bCs/>
          <w:sz w:val="28"/>
          <w:szCs w:val="28"/>
          <w:lang w:eastAsia="zh-CN"/>
        </w:rPr>
        <w:t>二</w:t>
      </w:r>
      <w:r>
        <w:rPr>
          <w:rFonts w:hint="eastAsia" w:ascii="黑体" w:eastAsia="黑体"/>
          <w:b/>
          <w:bCs/>
          <w:sz w:val="28"/>
          <w:szCs w:val="28"/>
        </w:rPr>
        <w:t>）</w:t>
      </w:r>
      <w:r>
        <w:rPr>
          <w:rFonts w:hint="eastAsia" w:ascii="黑体" w:eastAsia="黑体"/>
          <w:b/>
          <w:bCs/>
          <w:sz w:val="28"/>
          <w:szCs w:val="28"/>
          <w:lang w:eastAsia="zh-CN"/>
        </w:rPr>
        <w:t>、</w:t>
      </w:r>
      <w:r>
        <w:rPr>
          <w:rFonts w:hint="eastAsia" w:ascii="黑体" w:hAnsi="黑体" w:eastAsia="黑体" w:cs="黑体"/>
          <w:b/>
          <w:bCs/>
          <w:sz w:val="28"/>
          <w:szCs w:val="28"/>
        </w:rPr>
        <w:t>食堂餐梯功能表主要安全</w:t>
      </w:r>
      <w:r>
        <w:rPr>
          <w:rFonts w:hint="eastAsia" w:ascii="黑体" w:hAnsi="黑体" w:eastAsia="黑体" w:cs="黑体"/>
          <w:b/>
          <w:bCs/>
          <w:sz w:val="28"/>
          <w:szCs w:val="28"/>
          <w:lang w:eastAsia="zh-CN"/>
        </w:rPr>
        <w:t>保护</w:t>
      </w:r>
      <w:r>
        <w:rPr>
          <w:rFonts w:hint="eastAsia" w:ascii="黑体" w:hAnsi="黑体" w:eastAsia="黑体" w:cs="黑体"/>
          <w:b/>
          <w:bCs/>
          <w:sz w:val="28"/>
          <w:szCs w:val="28"/>
        </w:rPr>
        <w:t>装置</w:t>
      </w:r>
    </w:p>
    <w:p>
      <w:pPr>
        <w:autoSpaceDE w:val="0"/>
        <w:autoSpaceDN w:val="0"/>
        <w:adjustRightInd w:val="0"/>
        <w:ind w:left="720"/>
        <w:rPr>
          <w:rFonts w:hint="eastAsia" w:ascii="宋体" w:hAnsi="宋体" w:eastAsia="宋体" w:cs="宋体"/>
          <w:b w:val="0"/>
          <w:bCs/>
          <w:sz w:val="28"/>
          <w:szCs w:val="28"/>
        </w:rPr>
      </w:pPr>
      <w:r>
        <w:rPr>
          <w:rFonts w:hint="eastAsia" w:ascii="宋体" w:hAnsi="宋体" w:eastAsia="宋体" w:cs="宋体"/>
          <w:b w:val="0"/>
          <w:bCs/>
          <w:sz w:val="28"/>
          <w:szCs w:val="28"/>
        </w:rPr>
        <w:t>1.</w:t>
      </w:r>
      <w:r>
        <w:rPr>
          <w:rFonts w:hint="eastAsia" w:ascii="宋体" w:hAnsi="宋体" w:eastAsia="宋体" w:cs="宋体"/>
          <w:b w:val="0"/>
          <w:bCs/>
          <w:sz w:val="28"/>
          <w:szCs w:val="28"/>
          <w:lang w:val="zh-CN"/>
        </w:rPr>
        <w:t>控制柜检修运行功能</w:t>
      </w:r>
      <w:r>
        <w:rPr>
          <w:rFonts w:hint="eastAsia" w:ascii="宋体" w:hAnsi="宋体" w:eastAsia="宋体" w:cs="宋体"/>
          <w:b w:val="0"/>
          <w:bCs/>
          <w:sz w:val="28"/>
          <w:szCs w:val="28"/>
        </w:rPr>
        <w:t xml:space="preserve">            2.</w:t>
      </w:r>
      <w:r>
        <w:rPr>
          <w:rFonts w:hint="eastAsia" w:ascii="宋体" w:hAnsi="宋体" w:eastAsia="宋体" w:cs="宋体"/>
          <w:b w:val="0"/>
          <w:bCs/>
          <w:sz w:val="28"/>
          <w:szCs w:val="28"/>
          <w:lang w:val="zh-CN"/>
        </w:rPr>
        <w:t>相序保护功能</w:t>
      </w:r>
    </w:p>
    <w:p>
      <w:pPr>
        <w:autoSpaceDE w:val="0"/>
        <w:autoSpaceDN w:val="0"/>
        <w:adjustRightInd w:val="0"/>
        <w:ind w:left="720"/>
        <w:rPr>
          <w:rFonts w:hint="eastAsia" w:ascii="宋体" w:hAnsi="宋体" w:eastAsia="宋体" w:cs="宋体"/>
          <w:b w:val="0"/>
          <w:bCs/>
          <w:sz w:val="28"/>
          <w:szCs w:val="28"/>
        </w:rPr>
      </w:pPr>
      <w:r>
        <w:rPr>
          <w:rFonts w:hint="eastAsia" w:ascii="宋体" w:hAnsi="宋体" w:eastAsia="宋体" w:cs="宋体"/>
          <w:b w:val="0"/>
          <w:bCs/>
          <w:sz w:val="28"/>
          <w:szCs w:val="28"/>
        </w:rPr>
        <w:t>3.</w:t>
      </w:r>
      <w:r>
        <w:rPr>
          <w:rFonts w:hint="eastAsia" w:ascii="宋体" w:hAnsi="宋体" w:eastAsia="宋体" w:cs="宋体"/>
          <w:b w:val="0"/>
          <w:bCs/>
          <w:sz w:val="28"/>
          <w:szCs w:val="28"/>
          <w:lang w:val="zh-CN"/>
        </w:rPr>
        <w:t>到站自动平层功能</w:t>
      </w:r>
      <w:r>
        <w:rPr>
          <w:rFonts w:hint="eastAsia" w:ascii="宋体" w:hAnsi="宋体" w:eastAsia="宋体" w:cs="宋体"/>
          <w:b w:val="0"/>
          <w:bCs/>
          <w:sz w:val="28"/>
          <w:szCs w:val="28"/>
        </w:rPr>
        <w:t xml:space="preserve">              4.</w:t>
      </w:r>
      <w:r>
        <w:rPr>
          <w:rFonts w:hint="eastAsia" w:ascii="宋体" w:hAnsi="宋体" w:eastAsia="宋体" w:cs="宋体"/>
          <w:b w:val="0"/>
          <w:bCs/>
          <w:sz w:val="28"/>
          <w:szCs w:val="28"/>
          <w:lang w:val="zh-CN"/>
        </w:rPr>
        <w:t>层站显示功能</w:t>
      </w:r>
    </w:p>
    <w:p>
      <w:pPr>
        <w:autoSpaceDE w:val="0"/>
        <w:autoSpaceDN w:val="0"/>
        <w:adjustRightInd w:val="0"/>
        <w:ind w:left="720"/>
        <w:rPr>
          <w:rFonts w:hint="eastAsia" w:ascii="宋体" w:hAnsi="宋体" w:eastAsia="宋体" w:cs="宋体"/>
          <w:b w:val="0"/>
          <w:bCs/>
          <w:sz w:val="28"/>
          <w:szCs w:val="28"/>
        </w:rPr>
      </w:pPr>
      <w:r>
        <w:rPr>
          <w:rFonts w:hint="eastAsia" w:ascii="宋体" w:hAnsi="宋体" w:eastAsia="宋体" w:cs="宋体"/>
          <w:b w:val="0"/>
          <w:bCs/>
          <w:sz w:val="28"/>
          <w:szCs w:val="28"/>
        </w:rPr>
        <w:t>5.</w:t>
      </w:r>
      <w:r>
        <w:rPr>
          <w:rFonts w:hint="eastAsia" w:ascii="宋体" w:hAnsi="宋体" w:eastAsia="宋体" w:cs="宋体"/>
          <w:b w:val="0"/>
          <w:bCs/>
          <w:sz w:val="28"/>
          <w:szCs w:val="28"/>
          <w:lang w:val="zh-CN"/>
        </w:rPr>
        <w:t>关门提示音功能</w:t>
      </w:r>
      <w:r>
        <w:rPr>
          <w:rFonts w:hint="eastAsia" w:ascii="宋体" w:hAnsi="宋体" w:eastAsia="宋体" w:cs="宋体"/>
          <w:b w:val="0"/>
          <w:bCs/>
          <w:sz w:val="28"/>
          <w:szCs w:val="28"/>
        </w:rPr>
        <w:t xml:space="preserve">                6.</w:t>
      </w:r>
      <w:r>
        <w:rPr>
          <w:rFonts w:hint="eastAsia" w:ascii="宋体" w:hAnsi="宋体" w:eastAsia="宋体" w:cs="宋体"/>
          <w:b w:val="0"/>
          <w:bCs/>
          <w:sz w:val="28"/>
          <w:szCs w:val="28"/>
          <w:lang w:val="zh-CN"/>
        </w:rPr>
        <w:t>防粘连功能</w:t>
      </w:r>
    </w:p>
    <w:p>
      <w:pPr>
        <w:autoSpaceDE w:val="0"/>
        <w:autoSpaceDN w:val="0"/>
        <w:adjustRightInd w:val="0"/>
        <w:ind w:left="720"/>
        <w:rPr>
          <w:rFonts w:hint="eastAsia" w:ascii="宋体" w:hAnsi="宋体" w:eastAsia="宋体" w:cs="宋体"/>
          <w:b w:val="0"/>
          <w:bCs/>
          <w:sz w:val="28"/>
          <w:szCs w:val="28"/>
        </w:rPr>
      </w:pPr>
      <w:r>
        <w:rPr>
          <w:rFonts w:hint="eastAsia" w:ascii="宋体" w:hAnsi="宋体" w:eastAsia="宋体" w:cs="宋体"/>
          <w:b w:val="0"/>
          <w:bCs/>
          <w:sz w:val="28"/>
          <w:szCs w:val="28"/>
        </w:rPr>
        <w:t>7.</w:t>
      </w:r>
      <w:r>
        <w:rPr>
          <w:rFonts w:hint="eastAsia" w:ascii="宋体" w:hAnsi="宋体" w:eastAsia="宋体" w:cs="宋体"/>
          <w:b w:val="0"/>
          <w:bCs/>
          <w:sz w:val="28"/>
          <w:szCs w:val="28"/>
          <w:lang w:val="zh-CN"/>
        </w:rPr>
        <w:t>电机热保护功能</w:t>
      </w:r>
      <w:r>
        <w:rPr>
          <w:rFonts w:hint="eastAsia" w:ascii="宋体" w:hAnsi="宋体" w:eastAsia="宋体" w:cs="宋体"/>
          <w:b w:val="0"/>
          <w:bCs/>
          <w:sz w:val="28"/>
          <w:szCs w:val="28"/>
        </w:rPr>
        <w:t xml:space="preserve">                8.</w:t>
      </w:r>
      <w:r>
        <w:rPr>
          <w:rFonts w:hint="eastAsia" w:ascii="宋体" w:hAnsi="宋体" w:eastAsia="宋体" w:cs="宋体"/>
          <w:b w:val="0"/>
          <w:bCs/>
          <w:sz w:val="28"/>
          <w:szCs w:val="28"/>
          <w:lang w:val="zh-CN"/>
        </w:rPr>
        <w:t>超时运行保护功能</w:t>
      </w:r>
    </w:p>
    <w:p>
      <w:pPr>
        <w:autoSpaceDE w:val="0"/>
        <w:autoSpaceDN w:val="0"/>
        <w:adjustRightInd w:val="0"/>
        <w:ind w:left="720"/>
        <w:rPr>
          <w:rFonts w:hint="eastAsia" w:ascii="宋体" w:hAnsi="宋体" w:eastAsia="宋体" w:cs="宋体"/>
          <w:b w:val="0"/>
          <w:bCs/>
          <w:sz w:val="28"/>
          <w:szCs w:val="28"/>
        </w:rPr>
      </w:pPr>
      <w:r>
        <w:rPr>
          <w:rFonts w:hint="eastAsia" w:ascii="宋体" w:hAnsi="宋体" w:eastAsia="宋体" w:cs="宋体"/>
          <w:b w:val="0"/>
          <w:bCs/>
          <w:sz w:val="28"/>
          <w:szCs w:val="28"/>
        </w:rPr>
        <w:t>9.</w:t>
      </w:r>
      <w:r>
        <w:rPr>
          <w:rFonts w:hint="eastAsia" w:ascii="宋体" w:hAnsi="宋体" w:eastAsia="宋体" w:cs="宋体"/>
          <w:b w:val="0"/>
          <w:bCs/>
          <w:sz w:val="28"/>
          <w:szCs w:val="28"/>
          <w:lang w:val="zh-CN"/>
        </w:rPr>
        <w:t>上下极限位保护功能</w:t>
      </w:r>
      <w:r>
        <w:rPr>
          <w:rFonts w:hint="eastAsia" w:ascii="宋体" w:hAnsi="宋体" w:eastAsia="宋体" w:cs="宋体"/>
          <w:b w:val="0"/>
          <w:bCs/>
          <w:sz w:val="28"/>
          <w:szCs w:val="28"/>
        </w:rPr>
        <w:t xml:space="preserve">           10.</w:t>
      </w:r>
      <w:r>
        <w:rPr>
          <w:rFonts w:hint="eastAsia" w:ascii="宋体" w:hAnsi="宋体" w:eastAsia="宋体" w:cs="宋体"/>
          <w:b w:val="0"/>
          <w:bCs/>
          <w:sz w:val="28"/>
          <w:szCs w:val="28"/>
          <w:lang w:val="zh-CN"/>
        </w:rPr>
        <w:t>外呼急停功能</w:t>
      </w:r>
    </w:p>
    <w:p>
      <w:pPr>
        <w:autoSpaceDE w:val="0"/>
        <w:autoSpaceDN w:val="0"/>
        <w:adjustRightInd w:val="0"/>
        <w:ind w:left="720"/>
        <w:rPr>
          <w:rFonts w:hint="eastAsia" w:ascii="宋体" w:hAnsi="宋体" w:eastAsia="宋体" w:cs="宋体"/>
          <w:b w:val="0"/>
          <w:bCs/>
          <w:sz w:val="28"/>
          <w:szCs w:val="28"/>
        </w:rPr>
      </w:pPr>
      <w:r>
        <w:rPr>
          <w:rFonts w:hint="eastAsia" w:ascii="宋体" w:hAnsi="宋体" w:eastAsia="宋体" w:cs="宋体"/>
          <w:b w:val="0"/>
          <w:bCs/>
          <w:sz w:val="28"/>
          <w:szCs w:val="28"/>
        </w:rPr>
        <w:t>11.</w:t>
      </w:r>
      <w:r>
        <w:rPr>
          <w:rFonts w:hint="eastAsia" w:ascii="宋体" w:hAnsi="宋体" w:eastAsia="宋体" w:cs="宋体"/>
          <w:b w:val="0"/>
          <w:bCs/>
          <w:sz w:val="28"/>
          <w:szCs w:val="28"/>
          <w:lang w:val="zh-CN"/>
        </w:rPr>
        <w:t>锁梯服务功能</w:t>
      </w:r>
      <w:r>
        <w:rPr>
          <w:rFonts w:hint="eastAsia" w:ascii="宋体" w:hAnsi="宋体" w:eastAsia="宋体" w:cs="宋体"/>
          <w:b w:val="0"/>
          <w:bCs/>
          <w:sz w:val="28"/>
          <w:szCs w:val="28"/>
        </w:rPr>
        <w:t xml:space="preserve">                12</w:t>
      </w:r>
      <w:r>
        <w:rPr>
          <w:rFonts w:hint="eastAsia" w:ascii="宋体" w:hAnsi="宋体" w:eastAsia="宋体" w:cs="宋体"/>
          <w:b w:val="0"/>
          <w:bCs/>
          <w:sz w:val="28"/>
          <w:szCs w:val="28"/>
          <w:lang w:val="en-US" w:eastAsia="zh-CN"/>
        </w:rPr>
        <w:t>.</w:t>
      </w:r>
      <w:r>
        <w:rPr>
          <w:rFonts w:hint="eastAsia" w:ascii="宋体" w:hAnsi="宋体" w:eastAsia="宋体" w:cs="宋体"/>
          <w:b w:val="0"/>
          <w:bCs/>
          <w:sz w:val="28"/>
          <w:szCs w:val="28"/>
          <w:lang w:val="zh-CN"/>
        </w:rPr>
        <w:t>自动寻层功能</w:t>
      </w:r>
    </w:p>
    <w:p>
      <w:pPr>
        <w:autoSpaceDE w:val="0"/>
        <w:autoSpaceDN w:val="0"/>
        <w:adjustRightInd w:val="0"/>
        <w:ind w:left="720"/>
        <w:rPr>
          <w:rFonts w:hint="eastAsia" w:ascii="宋体" w:hAnsi="宋体" w:eastAsia="宋体" w:cs="宋体"/>
          <w:b w:val="0"/>
          <w:bCs/>
          <w:sz w:val="28"/>
          <w:szCs w:val="28"/>
        </w:rPr>
      </w:pPr>
      <w:r>
        <w:rPr>
          <w:rFonts w:hint="eastAsia" w:ascii="宋体" w:hAnsi="宋体" w:eastAsia="宋体" w:cs="宋体"/>
          <w:b w:val="0"/>
          <w:bCs/>
          <w:sz w:val="28"/>
          <w:szCs w:val="28"/>
        </w:rPr>
        <w:t>13.</w:t>
      </w:r>
      <w:r>
        <w:rPr>
          <w:rFonts w:hint="eastAsia" w:ascii="宋体" w:hAnsi="宋体" w:eastAsia="宋体" w:cs="宋体"/>
          <w:b w:val="0"/>
          <w:bCs/>
          <w:sz w:val="28"/>
          <w:szCs w:val="28"/>
          <w:lang w:val="zh-CN"/>
        </w:rPr>
        <w:t>到站提示音</w:t>
      </w:r>
      <w:r>
        <w:rPr>
          <w:rFonts w:hint="eastAsia" w:ascii="宋体" w:hAnsi="宋体" w:eastAsia="宋体" w:cs="宋体"/>
          <w:b w:val="0"/>
          <w:bCs/>
          <w:sz w:val="28"/>
          <w:szCs w:val="28"/>
        </w:rPr>
        <w:t xml:space="preserve">                  14.</w:t>
      </w:r>
      <w:r>
        <w:rPr>
          <w:rFonts w:hint="eastAsia" w:ascii="宋体" w:hAnsi="宋体" w:eastAsia="宋体" w:cs="宋体"/>
          <w:b w:val="0"/>
          <w:bCs/>
          <w:sz w:val="28"/>
          <w:szCs w:val="28"/>
          <w:lang w:val="zh-CN"/>
        </w:rPr>
        <w:t>控制柜故障显示功能</w:t>
      </w:r>
    </w:p>
    <w:p>
      <w:pPr>
        <w:autoSpaceDE w:val="0"/>
        <w:autoSpaceDN w:val="0"/>
        <w:adjustRightInd w:val="0"/>
        <w:ind w:left="720"/>
        <w:rPr>
          <w:rFonts w:hint="eastAsia" w:ascii="宋体" w:hAnsi="宋体" w:eastAsia="宋体" w:cs="宋体"/>
          <w:b w:val="0"/>
          <w:bCs/>
          <w:sz w:val="28"/>
          <w:szCs w:val="28"/>
        </w:rPr>
      </w:pPr>
      <w:r>
        <w:rPr>
          <w:rFonts w:hint="eastAsia" w:ascii="宋体" w:hAnsi="宋体" w:eastAsia="宋体" w:cs="宋体"/>
          <w:b w:val="0"/>
          <w:bCs/>
          <w:sz w:val="28"/>
          <w:szCs w:val="28"/>
        </w:rPr>
        <w:t>15.</w:t>
      </w:r>
      <w:r>
        <w:rPr>
          <w:rFonts w:hint="eastAsia" w:ascii="宋体" w:hAnsi="宋体" w:eastAsia="宋体" w:cs="宋体"/>
          <w:b w:val="0"/>
          <w:bCs/>
          <w:sz w:val="28"/>
          <w:szCs w:val="28"/>
          <w:lang w:val="zh-CN"/>
        </w:rPr>
        <w:t>运行方向显示</w:t>
      </w:r>
      <w:r>
        <w:rPr>
          <w:rFonts w:hint="eastAsia" w:ascii="宋体" w:hAnsi="宋体" w:eastAsia="宋体" w:cs="宋体"/>
          <w:b w:val="0"/>
          <w:bCs/>
          <w:sz w:val="28"/>
          <w:szCs w:val="28"/>
        </w:rPr>
        <w:t xml:space="preserve">                16.</w:t>
      </w:r>
      <w:r>
        <w:rPr>
          <w:rFonts w:hint="eastAsia" w:ascii="宋体" w:hAnsi="宋体" w:eastAsia="宋体" w:cs="宋体"/>
          <w:b w:val="0"/>
          <w:bCs/>
          <w:sz w:val="28"/>
          <w:szCs w:val="28"/>
          <w:lang w:val="zh-CN"/>
        </w:rPr>
        <w:t>层站显示设定功能</w:t>
      </w:r>
    </w:p>
    <w:p>
      <w:pPr>
        <w:autoSpaceDE w:val="0"/>
        <w:autoSpaceDN w:val="0"/>
        <w:adjustRightInd w:val="0"/>
        <w:ind w:left="720"/>
        <w:rPr>
          <w:rFonts w:hint="eastAsia" w:ascii="宋体" w:hAnsi="宋体" w:eastAsia="宋体" w:cs="宋体"/>
          <w:b w:val="0"/>
          <w:bCs/>
          <w:sz w:val="28"/>
          <w:szCs w:val="28"/>
        </w:rPr>
      </w:pPr>
      <w:r>
        <w:rPr>
          <w:rFonts w:hint="eastAsia" w:ascii="宋体" w:hAnsi="宋体" w:eastAsia="宋体" w:cs="宋体"/>
          <w:b w:val="0"/>
          <w:bCs/>
          <w:sz w:val="28"/>
          <w:szCs w:val="28"/>
        </w:rPr>
        <w:t>17.</w:t>
      </w:r>
      <w:r>
        <w:rPr>
          <w:rFonts w:hint="eastAsia" w:ascii="宋体" w:hAnsi="宋体" w:eastAsia="宋体" w:cs="宋体"/>
          <w:b w:val="0"/>
          <w:bCs/>
          <w:sz w:val="28"/>
          <w:szCs w:val="28"/>
          <w:lang w:val="zh-CN"/>
        </w:rPr>
        <w:t>急停、开门显示功能</w:t>
      </w:r>
      <w:r>
        <w:rPr>
          <w:rFonts w:hint="eastAsia" w:ascii="宋体" w:hAnsi="宋体" w:eastAsia="宋体" w:cs="宋体"/>
          <w:b w:val="0"/>
          <w:bCs/>
          <w:sz w:val="28"/>
          <w:szCs w:val="28"/>
        </w:rPr>
        <w:t xml:space="preserve">          18</w:t>
      </w:r>
      <w:r>
        <w:rPr>
          <w:rFonts w:hint="eastAsia" w:ascii="宋体" w:hAnsi="宋体" w:eastAsia="宋体" w:cs="宋体"/>
          <w:b w:val="0"/>
          <w:bCs/>
          <w:sz w:val="28"/>
          <w:szCs w:val="28"/>
          <w:lang w:val="zh-CN"/>
        </w:rPr>
        <w:t>呼梯提示音功能</w:t>
      </w:r>
    </w:p>
    <w:p>
      <w:pPr>
        <w:spacing w:line="420" w:lineRule="exact"/>
        <w:ind w:firstLine="548" w:firstLineChars="196"/>
        <w:rPr>
          <w:rFonts w:hint="eastAsia" w:ascii="黑体" w:eastAsia="黑体"/>
          <w:sz w:val="28"/>
          <w:szCs w:val="28"/>
        </w:rPr>
      </w:pPr>
    </w:p>
    <w:p>
      <w:pPr>
        <w:spacing w:line="420" w:lineRule="exact"/>
        <w:rPr>
          <w:sz w:val="28"/>
          <w:szCs w:val="28"/>
        </w:rPr>
      </w:pPr>
    </w:p>
    <w:p>
      <w:pPr>
        <w:ind w:firstLine="551" w:firstLineChars="196"/>
        <w:rPr>
          <w:rFonts w:hint="eastAsia"/>
          <w:b/>
          <w:sz w:val="28"/>
          <w:szCs w:val="28"/>
        </w:rPr>
      </w:pPr>
    </w:p>
    <w:p>
      <w:pPr>
        <w:ind w:firstLine="551" w:firstLineChars="196"/>
        <w:rPr>
          <w:rFonts w:hint="eastAsia"/>
          <w:b/>
          <w:sz w:val="28"/>
          <w:szCs w:val="28"/>
        </w:rPr>
      </w:pPr>
    </w:p>
    <w:p>
      <w:pPr>
        <w:ind w:firstLine="551" w:firstLineChars="196"/>
        <w:rPr>
          <w:rFonts w:hint="eastAsia" w:ascii="宋体" w:hAnsi="宋体"/>
          <w:sz w:val="24"/>
          <w:szCs w:val="24"/>
        </w:rPr>
      </w:pPr>
      <w:r>
        <w:rPr>
          <w:rFonts w:hint="eastAsia"/>
          <w:b/>
          <w:sz w:val="28"/>
          <w:szCs w:val="28"/>
        </w:rPr>
        <w:t>二、</w:t>
      </w:r>
      <w:r>
        <w:rPr>
          <w:rFonts w:hint="eastAsia"/>
          <w:b/>
          <w:sz w:val="28"/>
          <w:szCs w:val="28"/>
          <w:lang w:val="en-US" w:eastAsia="zh-CN"/>
        </w:rPr>
        <w:t>餐梯</w:t>
      </w:r>
      <w:r>
        <w:rPr>
          <w:rFonts w:hint="eastAsia"/>
          <w:b/>
          <w:sz w:val="28"/>
          <w:szCs w:val="28"/>
        </w:rPr>
        <w:t>主要配置表</w:t>
      </w:r>
      <w:r>
        <w:rPr>
          <w:rFonts w:hint="eastAsia" w:ascii="宋体" w:hAnsi="宋体"/>
          <w:sz w:val="24"/>
          <w:szCs w:val="24"/>
        </w:rPr>
        <w:t xml:space="preserve"> </w:t>
      </w:r>
    </w:p>
    <w:tbl>
      <w:tblPr>
        <w:tblStyle w:val="11"/>
        <w:tblW w:w="9208" w:type="dxa"/>
        <w:tblInd w:w="-18" w:type="dxa"/>
        <w:tblLayout w:type="fixed"/>
        <w:tblCellMar>
          <w:top w:w="0" w:type="dxa"/>
          <w:left w:w="0" w:type="dxa"/>
          <w:bottom w:w="0" w:type="dxa"/>
          <w:right w:w="0" w:type="dxa"/>
        </w:tblCellMar>
      </w:tblPr>
      <w:tblGrid>
        <w:gridCol w:w="1873"/>
        <w:gridCol w:w="4665"/>
        <w:gridCol w:w="2670"/>
      </w:tblGrid>
      <w:tr>
        <w:tblPrEx>
          <w:tblCellMar>
            <w:top w:w="0" w:type="dxa"/>
            <w:left w:w="0" w:type="dxa"/>
            <w:bottom w:w="0" w:type="dxa"/>
            <w:right w:w="0" w:type="dxa"/>
          </w:tblCellMar>
        </w:tblPrEx>
        <w:trPr>
          <w:trHeight w:val="454" w:hRule="atLeast"/>
        </w:trPr>
        <w:tc>
          <w:tcPr>
            <w:tcW w:w="9208" w:type="dxa"/>
            <w:gridSpan w:val="3"/>
            <w:tcBorders>
              <w:top w:val="single" w:color="auto" w:sz="12" w:space="0"/>
              <w:left w:val="single" w:color="auto" w:sz="12" w:space="0"/>
              <w:bottom w:val="single" w:color="auto" w:sz="4" w:space="0"/>
              <w:right w:val="single" w:color="000000"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b/>
                <w:bCs/>
                <w:sz w:val="24"/>
                <w:szCs w:val="24"/>
              </w:rPr>
            </w:pPr>
            <w:r>
              <w:rPr>
                <w:rFonts w:hint="eastAsia" w:ascii="宋体" w:hAnsi="宋体"/>
                <w:b/>
                <w:bCs/>
                <w:kern w:val="0"/>
                <w:sz w:val="24"/>
                <w:szCs w:val="24"/>
                <w:lang w:eastAsia="zh-CN"/>
              </w:rPr>
              <w:t>食堂货梯</w:t>
            </w:r>
            <w:r>
              <w:rPr>
                <w:rFonts w:hint="eastAsia" w:ascii="宋体" w:hAnsi="宋体"/>
                <w:b/>
                <w:bCs/>
                <w:kern w:val="0"/>
                <w:sz w:val="24"/>
                <w:szCs w:val="24"/>
              </w:rPr>
              <w:t>(速度0.4m/s)配置表</w:t>
            </w:r>
          </w:p>
        </w:tc>
      </w:tr>
      <w:tr>
        <w:tblPrEx>
          <w:tblCellMar>
            <w:top w:w="0" w:type="dxa"/>
            <w:left w:w="0" w:type="dxa"/>
            <w:bottom w:w="0" w:type="dxa"/>
            <w:right w:w="0" w:type="dxa"/>
          </w:tblCellMar>
        </w:tblPrEx>
        <w:trPr>
          <w:trHeight w:val="454" w:hRule="atLeast"/>
        </w:trPr>
        <w:tc>
          <w:tcPr>
            <w:tcW w:w="1873" w:type="dxa"/>
            <w:tcBorders>
              <w:top w:val="nil"/>
              <w:left w:val="single" w:color="auto" w:sz="12" w:space="0"/>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b/>
                <w:bCs/>
                <w:sz w:val="24"/>
                <w:szCs w:val="24"/>
              </w:rPr>
            </w:pPr>
            <w:r>
              <w:rPr>
                <w:rFonts w:hint="eastAsia" w:ascii="宋体" w:hAnsi="宋体"/>
                <w:b/>
                <w:bCs/>
                <w:kern w:val="0"/>
                <w:sz w:val="24"/>
                <w:szCs w:val="24"/>
              </w:rPr>
              <w:t>项目</w:t>
            </w: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b/>
                <w:bCs/>
                <w:sz w:val="24"/>
                <w:szCs w:val="24"/>
              </w:rPr>
            </w:pPr>
            <w:r>
              <w:rPr>
                <w:rFonts w:hint="eastAsia" w:ascii="宋体" w:hAnsi="宋体"/>
                <w:b/>
                <w:bCs/>
                <w:kern w:val="0"/>
                <w:sz w:val="24"/>
                <w:szCs w:val="24"/>
              </w:rPr>
              <w:t>名称</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b/>
                <w:bCs/>
                <w:sz w:val="24"/>
                <w:szCs w:val="24"/>
              </w:rPr>
            </w:pPr>
            <w:r>
              <w:rPr>
                <w:rFonts w:hint="eastAsia" w:ascii="宋体" w:hAnsi="宋体"/>
                <w:b/>
                <w:bCs/>
                <w:kern w:val="0"/>
                <w:sz w:val="24"/>
                <w:szCs w:val="24"/>
              </w:rPr>
              <w:t>备注</w:t>
            </w:r>
          </w:p>
        </w:tc>
      </w:tr>
      <w:tr>
        <w:tblPrEx>
          <w:tblCellMar>
            <w:top w:w="0" w:type="dxa"/>
            <w:left w:w="0" w:type="dxa"/>
            <w:bottom w:w="0" w:type="dxa"/>
            <w:right w:w="0" w:type="dxa"/>
          </w:tblCellMar>
        </w:tblPrEx>
        <w:trPr>
          <w:trHeight w:val="454" w:hRule="atLeast"/>
        </w:trPr>
        <w:tc>
          <w:tcPr>
            <w:tcW w:w="1873" w:type="dxa"/>
            <w:tcBorders>
              <w:top w:val="nil"/>
              <w:left w:val="single" w:color="auto" w:sz="12" w:space="0"/>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1.主机</w:t>
            </w:r>
            <w:r>
              <w:rPr>
                <w:rFonts w:hint="eastAsia" w:ascii="宋体" w:hAnsi="宋体"/>
                <w:color w:val="000000"/>
                <w:sz w:val="24"/>
                <w:szCs w:val="24"/>
              </w:rPr>
              <w:t>★</w:t>
            </w:r>
          </w:p>
        </w:tc>
        <w:tc>
          <w:tcPr>
            <w:tcW w:w="4665" w:type="dxa"/>
            <w:tcBorders>
              <w:top w:val="nil"/>
              <w:left w:val="nil"/>
              <w:bottom w:val="nil"/>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曳引机</w:t>
            </w:r>
          </w:p>
        </w:tc>
        <w:tc>
          <w:tcPr>
            <w:tcW w:w="2670" w:type="dxa"/>
            <w:tcBorders>
              <w:top w:val="nil"/>
              <w:left w:val="nil"/>
              <w:bottom w:val="nil"/>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hint="eastAsia" w:ascii="宋体" w:hAnsi="宋体" w:eastAsia="宋体"/>
                <w:sz w:val="24"/>
                <w:szCs w:val="24"/>
                <w:lang w:eastAsia="zh-CN"/>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454" w:hRule="atLeast"/>
        </w:trPr>
        <w:tc>
          <w:tcPr>
            <w:tcW w:w="1873" w:type="dxa"/>
            <w:vMerge w:val="restart"/>
            <w:tcBorders>
              <w:top w:val="nil"/>
              <w:left w:val="single" w:color="auto" w:sz="12" w:space="0"/>
              <w:bottom w:val="single" w:color="000000"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2.控制系统</w:t>
            </w:r>
            <w:r>
              <w:rPr>
                <w:rFonts w:hint="eastAsia" w:ascii="宋体" w:hAnsi="宋体"/>
                <w:color w:val="000000"/>
                <w:sz w:val="24"/>
                <w:szCs w:val="24"/>
              </w:rPr>
              <w:t>★</w:t>
            </w:r>
          </w:p>
        </w:tc>
        <w:tc>
          <w:tcPr>
            <w:tcW w:w="46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接触器</w:t>
            </w:r>
          </w:p>
        </w:tc>
        <w:tc>
          <w:tcPr>
            <w:tcW w:w="2670" w:type="dxa"/>
            <w:tcBorders>
              <w:top w:val="single" w:color="auto" w:sz="4" w:space="0"/>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454" w:hRule="atLeast"/>
        </w:trPr>
        <w:tc>
          <w:tcPr>
            <w:tcW w:w="1873" w:type="dxa"/>
            <w:vMerge w:val="continue"/>
            <w:tcBorders>
              <w:top w:val="nil"/>
              <w:left w:val="single" w:color="auto" w:sz="12" w:space="0"/>
              <w:bottom w:val="single" w:color="000000" w:sz="4" w:space="0"/>
              <w:right w:val="single" w:color="auto" w:sz="4" w:space="0"/>
            </w:tcBorders>
            <w:vAlign w:val="center"/>
          </w:tcPr>
          <w:p>
            <w:pPr>
              <w:widowControl/>
              <w:spacing w:line="360" w:lineRule="exact"/>
              <w:jc w:val="left"/>
              <w:rPr>
                <w:rFonts w:ascii="宋体" w:hAnsi="宋体"/>
                <w:sz w:val="24"/>
                <w:szCs w:val="24"/>
              </w:rPr>
            </w:pP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断路器</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454" w:hRule="atLeast"/>
        </w:trPr>
        <w:tc>
          <w:tcPr>
            <w:tcW w:w="1873" w:type="dxa"/>
            <w:vMerge w:val="continue"/>
            <w:tcBorders>
              <w:top w:val="nil"/>
              <w:left w:val="single" w:color="auto" w:sz="12" w:space="0"/>
              <w:bottom w:val="single" w:color="000000" w:sz="4" w:space="0"/>
              <w:right w:val="single" w:color="auto" w:sz="4" w:space="0"/>
            </w:tcBorders>
            <w:vAlign w:val="center"/>
          </w:tcPr>
          <w:p>
            <w:pPr>
              <w:widowControl/>
              <w:spacing w:line="360" w:lineRule="exact"/>
              <w:jc w:val="left"/>
              <w:rPr>
                <w:rFonts w:ascii="宋体" w:hAnsi="宋体"/>
                <w:sz w:val="24"/>
                <w:szCs w:val="24"/>
              </w:rPr>
            </w:pP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小型断路器</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454" w:hRule="atLeast"/>
        </w:trPr>
        <w:tc>
          <w:tcPr>
            <w:tcW w:w="1873" w:type="dxa"/>
            <w:vMerge w:val="continue"/>
            <w:tcBorders>
              <w:top w:val="nil"/>
              <w:left w:val="single" w:color="auto" w:sz="12" w:space="0"/>
              <w:bottom w:val="single" w:color="000000" w:sz="4" w:space="0"/>
              <w:right w:val="single" w:color="auto" w:sz="4" w:space="0"/>
            </w:tcBorders>
            <w:vAlign w:val="center"/>
          </w:tcPr>
          <w:p>
            <w:pPr>
              <w:widowControl/>
              <w:spacing w:line="360" w:lineRule="exact"/>
              <w:jc w:val="left"/>
              <w:rPr>
                <w:rFonts w:ascii="宋体" w:hAnsi="宋体"/>
                <w:sz w:val="24"/>
                <w:szCs w:val="24"/>
              </w:rPr>
            </w:pP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PC电脑</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454" w:hRule="atLeast"/>
        </w:trPr>
        <w:tc>
          <w:tcPr>
            <w:tcW w:w="1873" w:type="dxa"/>
            <w:vMerge w:val="continue"/>
            <w:tcBorders>
              <w:top w:val="nil"/>
              <w:left w:val="single" w:color="auto" w:sz="12" w:space="0"/>
              <w:bottom w:val="single" w:color="000000" w:sz="4" w:space="0"/>
              <w:right w:val="single" w:color="auto" w:sz="4" w:space="0"/>
            </w:tcBorders>
            <w:vAlign w:val="center"/>
          </w:tcPr>
          <w:p>
            <w:pPr>
              <w:widowControl/>
              <w:spacing w:line="360" w:lineRule="exact"/>
              <w:jc w:val="left"/>
              <w:rPr>
                <w:rFonts w:ascii="宋体" w:hAnsi="宋体"/>
                <w:sz w:val="24"/>
                <w:szCs w:val="24"/>
              </w:rPr>
            </w:pP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继电器</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454" w:hRule="atLeast"/>
        </w:trPr>
        <w:tc>
          <w:tcPr>
            <w:tcW w:w="1873" w:type="dxa"/>
            <w:vMerge w:val="continue"/>
            <w:tcBorders>
              <w:top w:val="nil"/>
              <w:left w:val="single" w:color="auto" w:sz="12" w:space="0"/>
              <w:bottom w:val="single" w:color="000000" w:sz="4" w:space="0"/>
              <w:right w:val="single" w:color="auto" w:sz="4" w:space="0"/>
            </w:tcBorders>
            <w:vAlign w:val="center"/>
          </w:tcPr>
          <w:p>
            <w:pPr>
              <w:widowControl/>
              <w:spacing w:line="360" w:lineRule="exact"/>
              <w:jc w:val="left"/>
              <w:rPr>
                <w:rFonts w:ascii="宋体" w:hAnsi="宋体"/>
                <w:sz w:val="24"/>
                <w:szCs w:val="24"/>
              </w:rPr>
            </w:pP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开关电源</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396" w:hRule="atLeast"/>
        </w:trPr>
        <w:tc>
          <w:tcPr>
            <w:tcW w:w="1873" w:type="dxa"/>
            <w:vMerge w:val="continue"/>
            <w:tcBorders>
              <w:top w:val="nil"/>
              <w:left w:val="single" w:color="auto" w:sz="12" w:space="0"/>
              <w:bottom w:val="single" w:color="000000" w:sz="4" w:space="0"/>
              <w:right w:val="single" w:color="auto" w:sz="4" w:space="0"/>
            </w:tcBorders>
            <w:vAlign w:val="center"/>
          </w:tcPr>
          <w:p>
            <w:pPr>
              <w:widowControl/>
              <w:spacing w:line="360" w:lineRule="exact"/>
              <w:jc w:val="left"/>
              <w:rPr>
                <w:rFonts w:ascii="宋体" w:hAnsi="宋体"/>
                <w:sz w:val="24"/>
                <w:szCs w:val="24"/>
              </w:rPr>
            </w:pP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控制变压器</w:t>
            </w:r>
          </w:p>
        </w:tc>
        <w:tc>
          <w:tcPr>
            <w:tcW w:w="2670" w:type="dxa"/>
            <w:tcBorders>
              <w:top w:val="nil"/>
              <w:left w:val="nil"/>
              <w:bottom w:val="single" w:color="000000"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454" w:hRule="atLeast"/>
        </w:trPr>
        <w:tc>
          <w:tcPr>
            <w:tcW w:w="1873" w:type="dxa"/>
            <w:vMerge w:val="restart"/>
            <w:tcBorders>
              <w:top w:val="nil"/>
              <w:left w:val="single" w:color="auto" w:sz="12" w:space="0"/>
              <w:bottom w:val="single" w:color="000000"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3.安全部件</w:t>
            </w:r>
            <w:r>
              <w:rPr>
                <w:rFonts w:hint="eastAsia" w:ascii="宋体" w:hAnsi="宋体"/>
                <w:color w:val="000000"/>
                <w:sz w:val="24"/>
                <w:szCs w:val="24"/>
              </w:rPr>
              <w:t>★</w:t>
            </w: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hint="eastAsia" w:ascii="宋体" w:hAnsi="宋体" w:eastAsia="宋体"/>
                <w:sz w:val="24"/>
                <w:szCs w:val="24"/>
                <w:lang w:eastAsia="zh-CN"/>
              </w:rPr>
            </w:pPr>
            <w:r>
              <w:rPr>
                <w:rFonts w:hint="eastAsia" w:ascii="宋体" w:hAnsi="宋体"/>
                <w:sz w:val="24"/>
                <w:szCs w:val="24"/>
                <w:lang w:eastAsia="zh-CN"/>
              </w:rPr>
              <w:t>电磁门锁</w:t>
            </w:r>
          </w:p>
        </w:tc>
        <w:tc>
          <w:tcPr>
            <w:tcW w:w="2670" w:type="dxa"/>
            <w:vMerge w:val="restart"/>
            <w:tcBorders>
              <w:top w:val="nil"/>
              <w:left w:val="nil"/>
              <w:bottom w:val="nil"/>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hint="eastAsia" w:ascii="宋体" w:hAnsi="宋体"/>
                <w:kern w:val="0"/>
                <w:sz w:val="24"/>
                <w:szCs w:val="24"/>
                <w:lang w:val="en-US" w:eastAsia="zh-CN"/>
              </w:rPr>
            </w:pPr>
          </w:p>
          <w:p>
            <w:pPr>
              <w:widowControl/>
              <w:spacing w:line="360" w:lineRule="exact"/>
              <w:jc w:val="center"/>
              <w:textAlignment w:val="center"/>
              <w:rPr>
                <w:rFonts w:hint="eastAsia" w:ascii="宋体" w:hAnsi="宋体"/>
                <w:kern w:val="0"/>
                <w:sz w:val="24"/>
                <w:szCs w:val="24"/>
                <w:lang w:eastAsia="zh-CN"/>
              </w:rPr>
            </w:pPr>
            <w:r>
              <w:rPr>
                <w:rFonts w:hint="eastAsia" w:ascii="宋体" w:hAnsi="宋体"/>
                <w:kern w:val="0"/>
                <w:sz w:val="24"/>
                <w:szCs w:val="24"/>
                <w:lang w:eastAsia="zh-CN"/>
              </w:rPr>
              <w:t>国标</w:t>
            </w:r>
            <w:r>
              <w:rPr>
                <w:rFonts w:hint="eastAsia" w:ascii="宋体" w:hAnsi="宋体"/>
                <w:kern w:val="0"/>
                <w:sz w:val="24"/>
                <w:szCs w:val="24"/>
                <w:lang w:val="en-US" w:eastAsia="zh-CN"/>
              </w:rPr>
              <w:t xml:space="preserve"> </w:t>
            </w:r>
          </w:p>
        </w:tc>
      </w:tr>
      <w:tr>
        <w:tblPrEx>
          <w:tblCellMar>
            <w:top w:w="0" w:type="dxa"/>
            <w:left w:w="0" w:type="dxa"/>
            <w:bottom w:w="0" w:type="dxa"/>
            <w:right w:w="0" w:type="dxa"/>
          </w:tblCellMar>
        </w:tblPrEx>
        <w:trPr>
          <w:trHeight w:val="454" w:hRule="atLeast"/>
        </w:trPr>
        <w:tc>
          <w:tcPr>
            <w:tcW w:w="1873" w:type="dxa"/>
            <w:vMerge w:val="continue"/>
            <w:tcBorders>
              <w:top w:val="nil"/>
              <w:left w:val="single" w:color="auto" w:sz="12" w:space="0"/>
              <w:bottom w:val="single" w:color="000000" w:sz="4" w:space="0"/>
              <w:right w:val="single" w:color="auto" w:sz="4" w:space="0"/>
            </w:tcBorders>
            <w:vAlign w:val="center"/>
          </w:tcPr>
          <w:p>
            <w:pPr>
              <w:widowControl/>
              <w:spacing w:line="360" w:lineRule="exact"/>
              <w:jc w:val="left"/>
              <w:rPr>
                <w:rFonts w:ascii="宋体" w:hAnsi="宋体"/>
                <w:sz w:val="24"/>
                <w:szCs w:val="24"/>
              </w:rPr>
            </w:pP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hint="eastAsia" w:ascii="宋体" w:hAnsi="宋体" w:eastAsia="宋体"/>
                <w:sz w:val="24"/>
                <w:szCs w:val="24"/>
                <w:lang w:eastAsia="zh-CN"/>
              </w:rPr>
            </w:pPr>
            <w:r>
              <w:rPr>
                <w:rFonts w:hint="eastAsia" w:ascii="宋体" w:hAnsi="宋体"/>
                <w:sz w:val="24"/>
                <w:szCs w:val="24"/>
                <w:lang w:eastAsia="zh-CN"/>
              </w:rPr>
              <w:t>安全开关</w:t>
            </w:r>
          </w:p>
        </w:tc>
        <w:tc>
          <w:tcPr>
            <w:tcW w:w="2670" w:type="dxa"/>
            <w:vMerge w:val="continue"/>
            <w:tcBorders>
              <w:top w:val="nil"/>
              <w:left w:val="nil"/>
              <w:bottom w:val="nil"/>
              <w:right w:val="single" w:color="auto" w:sz="12" w:space="0"/>
            </w:tcBorders>
            <w:vAlign w:val="center"/>
          </w:tcPr>
          <w:p>
            <w:pPr>
              <w:widowControl/>
              <w:spacing w:line="360" w:lineRule="exact"/>
              <w:jc w:val="left"/>
              <w:rPr>
                <w:rFonts w:ascii="宋体" w:hAnsi="宋体"/>
                <w:sz w:val="24"/>
                <w:szCs w:val="24"/>
              </w:rPr>
            </w:pPr>
          </w:p>
        </w:tc>
      </w:tr>
      <w:tr>
        <w:tblPrEx>
          <w:tblCellMar>
            <w:top w:w="0" w:type="dxa"/>
            <w:left w:w="0" w:type="dxa"/>
            <w:bottom w:w="0" w:type="dxa"/>
            <w:right w:w="0" w:type="dxa"/>
          </w:tblCellMar>
        </w:tblPrEx>
        <w:trPr>
          <w:trHeight w:val="454" w:hRule="atLeast"/>
        </w:trPr>
        <w:tc>
          <w:tcPr>
            <w:tcW w:w="1873" w:type="dxa"/>
            <w:vMerge w:val="continue"/>
            <w:tcBorders>
              <w:top w:val="nil"/>
              <w:left w:val="single" w:color="auto" w:sz="12" w:space="0"/>
              <w:bottom w:val="single" w:color="000000" w:sz="4" w:space="0"/>
              <w:right w:val="single" w:color="auto" w:sz="4" w:space="0"/>
            </w:tcBorders>
            <w:vAlign w:val="center"/>
          </w:tcPr>
          <w:p>
            <w:pPr>
              <w:widowControl/>
              <w:spacing w:line="360" w:lineRule="exact"/>
              <w:jc w:val="left"/>
              <w:rPr>
                <w:rFonts w:ascii="宋体" w:hAnsi="宋体"/>
                <w:sz w:val="24"/>
                <w:szCs w:val="24"/>
              </w:rPr>
            </w:pP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缓冲器</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spacing w:line="360" w:lineRule="exact"/>
              <w:rPr>
                <w:rStyle w:val="25"/>
                <w:sz w:val="24"/>
                <w:szCs w:val="24"/>
              </w:rPr>
            </w:pPr>
            <w:r>
              <w:rPr>
                <w:rFonts w:hint="eastAsia" w:ascii="宋体" w:hAnsi="宋体"/>
                <w:kern w:val="0"/>
                <w:sz w:val="24"/>
                <w:szCs w:val="24"/>
                <w:lang w:val="en-US" w:eastAsia="zh-CN"/>
              </w:rPr>
              <w:t xml:space="preserve"> </w:t>
            </w:r>
          </w:p>
        </w:tc>
      </w:tr>
      <w:tr>
        <w:tblPrEx>
          <w:tblCellMar>
            <w:top w:w="0" w:type="dxa"/>
            <w:left w:w="0" w:type="dxa"/>
            <w:bottom w:w="0" w:type="dxa"/>
            <w:right w:w="0" w:type="dxa"/>
          </w:tblCellMar>
        </w:tblPrEx>
        <w:trPr>
          <w:trHeight w:val="454" w:hRule="atLeast"/>
        </w:trPr>
        <w:tc>
          <w:tcPr>
            <w:tcW w:w="1873" w:type="dxa"/>
            <w:vMerge w:val="continue"/>
            <w:tcBorders>
              <w:top w:val="nil"/>
              <w:left w:val="single" w:color="auto" w:sz="12" w:space="0"/>
              <w:bottom w:val="single" w:color="000000" w:sz="4" w:space="0"/>
              <w:right w:val="single" w:color="auto" w:sz="4" w:space="0"/>
            </w:tcBorders>
            <w:vAlign w:val="center"/>
          </w:tcPr>
          <w:p>
            <w:pPr>
              <w:widowControl/>
              <w:spacing w:line="360" w:lineRule="exact"/>
              <w:jc w:val="left"/>
              <w:rPr>
                <w:rFonts w:ascii="宋体" w:hAnsi="宋体"/>
                <w:sz w:val="24"/>
                <w:szCs w:val="24"/>
              </w:rPr>
            </w:pP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绳头组合</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514" w:hRule="atLeast"/>
        </w:trPr>
        <w:tc>
          <w:tcPr>
            <w:tcW w:w="1873" w:type="dxa"/>
            <w:tcBorders>
              <w:top w:val="nil"/>
              <w:left w:val="single" w:color="auto" w:sz="12" w:space="0"/>
              <w:bottom w:val="single" w:color="000000"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4.呼梯盒</w:t>
            </w:r>
          </w:p>
        </w:tc>
        <w:tc>
          <w:tcPr>
            <w:tcW w:w="4665"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厅门外召唤盒</w:t>
            </w:r>
          </w:p>
        </w:tc>
        <w:tc>
          <w:tcPr>
            <w:tcW w:w="2670" w:type="dxa"/>
            <w:tcBorders>
              <w:top w:val="nil"/>
              <w:left w:val="nil"/>
              <w:bottom w:val="single" w:color="000000"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454" w:hRule="atLeast"/>
        </w:trPr>
        <w:tc>
          <w:tcPr>
            <w:tcW w:w="1873" w:type="dxa"/>
            <w:vMerge w:val="restart"/>
            <w:tcBorders>
              <w:top w:val="nil"/>
              <w:left w:val="single" w:color="auto" w:sz="12" w:space="0"/>
              <w:bottom w:val="single" w:color="000000"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5.井道系统</w:t>
            </w:r>
            <w:r>
              <w:rPr>
                <w:rFonts w:hint="eastAsia" w:ascii="宋体" w:hAnsi="宋体"/>
                <w:color w:val="000000"/>
                <w:sz w:val="24"/>
                <w:szCs w:val="24"/>
              </w:rPr>
              <w:t>★</w:t>
            </w: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曳引钢丝绳</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252" w:hRule="atLeast"/>
        </w:trPr>
        <w:tc>
          <w:tcPr>
            <w:tcW w:w="1873" w:type="dxa"/>
            <w:vMerge w:val="continue"/>
            <w:tcBorders>
              <w:top w:val="nil"/>
              <w:left w:val="single" w:color="auto" w:sz="12" w:space="0"/>
              <w:bottom w:val="single" w:color="000000" w:sz="4" w:space="0"/>
              <w:right w:val="single" w:color="auto" w:sz="4" w:space="0"/>
            </w:tcBorders>
            <w:vAlign w:val="center"/>
          </w:tcPr>
          <w:p>
            <w:pPr>
              <w:widowControl/>
              <w:spacing w:line="360" w:lineRule="exact"/>
              <w:jc w:val="left"/>
              <w:rPr>
                <w:rFonts w:ascii="宋体" w:hAnsi="宋体"/>
                <w:sz w:val="24"/>
                <w:szCs w:val="24"/>
              </w:rPr>
            </w:pP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行程开关</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356" w:hRule="atLeast"/>
        </w:trPr>
        <w:tc>
          <w:tcPr>
            <w:tcW w:w="1873" w:type="dxa"/>
            <w:vMerge w:val="continue"/>
            <w:tcBorders>
              <w:top w:val="nil"/>
              <w:left w:val="single" w:color="auto" w:sz="12" w:space="0"/>
              <w:bottom w:val="single" w:color="000000" w:sz="4" w:space="0"/>
              <w:right w:val="single" w:color="auto" w:sz="4" w:space="0"/>
            </w:tcBorders>
            <w:vAlign w:val="center"/>
          </w:tcPr>
          <w:p>
            <w:pPr>
              <w:widowControl/>
              <w:spacing w:line="360" w:lineRule="exact"/>
              <w:jc w:val="left"/>
              <w:rPr>
                <w:rFonts w:ascii="宋体" w:hAnsi="宋体"/>
                <w:sz w:val="24"/>
                <w:szCs w:val="24"/>
              </w:rPr>
            </w:pP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行程开关</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308" w:hRule="atLeast"/>
        </w:trPr>
        <w:tc>
          <w:tcPr>
            <w:tcW w:w="1873" w:type="dxa"/>
            <w:vMerge w:val="continue"/>
            <w:tcBorders>
              <w:top w:val="nil"/>
              <w:left w:val="single" w:color="auto" w:sz="12" w:space="0"/>
              <w:bottom w:val="single" w:color="000000" w:sz="4" w:space="0"/>
              <w:right w:val="single" w:color="auto" w:sz="4" w:space="0"/>
            </w:tcBorders>
            <w:vAlign w:val="center"/>
          </w:tcPr>
          <w:p>
            <w:pPr>
              <w:widowControl/>
              <w:spacing w:line="360" w:lineRule="exact"/>
              <w:jc w:val="left"/>
              <w:rPr>
                <w:rFonts w:ascii="宋体" w:hAnsi="宋体"/>
                <w:sz w:val="24"/>
                <w:szCs w:val="24"/>
              </w:rPr>
            </w:pP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永磁感应器</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270" w:hRule="atLeast"/>
        </w:trPr>
        <w:tc>
          <w:tcPr>
            <w:tcW w:w="1873" w:type="dxa"/>
            <w:vMerge w:val="continue"/>
            <w:tcBorders>
              <w:top w:val="nil"/>
              <w:left w:val="single" w:color="auto" w:sz="12" w:space="0"/>
              <w:bottom w:val="single" w:color="000000" w:sz="4" w:space="0"/>
              <w:right w:val="single" w:color="auto" w:sz="4" w:space="0"/>
            </w:tcBorders>
            <w:vAlign w:val="center"/>
          </w:tcPr>
          <w:p>
            <w:pPr>
              <w:widowControl/>
              <w:spacing w:line="360" w:lineRule="exact"/>
              <w:jc w:val="left"/>
              <w:rPr>
                <w:rFonts w:ascii="宋体" w:hAnsi="宋体"/>
                <w:sz w:val="24"/>
                <w:szCs w:val="24"/>
              </w:rPr>
            </w:pP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导轨</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364" w:hRule="atLeast"/>
        </w:trPr>
        <w:tc>
          <w:tcPr>
            <w:tcW w:w="1873" w:type="dxa"/>
            <w:vMerge w:val="restart"/>
            <w:tcBorders>
              <w:top w:val="nil"/>
              <w:left w:val="single" w:color="auto" w:sz="12" w:space="0"/>
              <w:bottom w:val="single" w:color="000000" w:sz="12"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6.其他部件</w:t>
            </w:r>
            <w:r>
              <w:rPr>
                <w:rFonts w:hint="eastAsia" w:ascii="宋体" w:hAnsi="宋体"/>
                <w:color w:val="000000"/>
                <w:sz w:val="24"/>
                <w:szCs w:val="24"/>
              </w:rPr>
              <w:t>★</w:t>
            </w: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导靴</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255" w:hRule="atLeast"/>
        </w:trPr>
        <w:tc>
          <w:tcPr>
            <w:tcW w:w="1873" w:type="dxa"/>
            <w:vMerge w:val="continue"/>
            <w:tcBorders>
              <w:top w:val="nil"/>
              <w:left w:val="single" w:color="auto" w:sz="12" w:space="0"/>
              <w:bottom w:val="single" w:color="000000" w:sz="12" w:space="0"/>
              <w:right w:val="single" w:color="auto" w:sz="4" w:space="0"/>
            </w:tcBorders>
            <w:vAlign w:val="center"/>
          </w:tcPr>
          <w:p>
            <w:pPr>
              <w:widowControl/>
              <w:spacing w:line="360" w:lineRule="exact"/>
              <w:jc w:val="left"/>
              <w:rPr>
                <w:rFonts w:ascii="宋体" w:hAnsi="宋体"/>
                <w:sz w:val="24"/>
                <w:szCs w:val="24"/>
              </w:rPr>
            </w:pP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门滑轮</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254" w:hRule="atLeast"/>
        </w:trPr>
        <w:tc>
          <w:tcPr>
            <w:tcW w:w="1873" w:type="dxa"/>
            <w:vMerge w:val="continue"/>
            <w:tcBorders>
              <w:top w:val="nil"/>
              <w:left w:val="single" w:color="auto" w:sz="12" w:space="0"/>
              <w:bottom w:val="single" w:color="000000" w:sz="12" w:space="0"/>
              <w:right w:val="single" w:color="auto" w:sz="4" w:space="0"/>
            </w:tcBorders>
            <w:vAlign w:val="center"/>
          </w:tcPr>
          <w:p>
            <w:pPr>
              <w:widowControl/>
              <w:spacing w:line="360" w:lineRule="exact"/>
              <w:jc w:val="left"/>
              <w:rPr>
                <w:rFonts w:ascii="宋体" w:hAnsi="宋体"/>
                <w:sz w:val="24"/>
                <w:szCs w:val="24"/>
              </w:rPr>
            </w:pP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轿厢部件</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204" w:hRule="atLeast"/>
        </w:trPr>
        <w:tc>
          <w:tcPr>
            <w:tcW w:w="1873" w:type="dxa"/>
            <w:vMerge w:val="continue"/>
            <w:tcBorders>
              <w:top w:val="nil"/>
              <w:left w:val="single" w:color="auto" w:sz="12" w:space="0"/>
              <w:bottom w:val="single" w:color="000000" w:sz="12" w:space="0"/>
              <w:right w:val="single" w:color="auto" w:sz="4" w:space="0"/>
            </w:tcBorders>
            <w:vAlign w:val="center"/>
          </w:tcPr>
          <w:p>
            <w:pPr>
              <w:widowControl/>
              <w:spacing w:line="360" w:lineRule="exact"/>
              <w:jc w:val="left"/>
              <w:rPr>
                <w:rFonts w:ascii="宋体" w:hAnsi="宋体"/>
                <w:sz w:val="24"/>
                <w:szCs w:val="24"/>
              </w:rPr>
            </w:pP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厅门</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r>
        <w:tblPrEx>
          <w:tblCellMar>
            <w:top w:w="0" w:type="dxa"/>
            <w:left w:w="0" w:type="dxa"/>
            <w:bottom w:w="0" w:type="dxa"/>
            <w:right w:w="0" w:type="dxa"/>
          </w:tblCellMar>
        </w:tblPrEx>
        <w:trPr>
          <w:trHeight w:val="296" w:hRule="atLeast"/>
        </w:trPr>
        <w:tc>
          <w:tcPr>
            <w:tcW w:w="1873" w:type="dxa"/>
            <w:vMerge w:val="continue"/>
            <w:tcBorders>
              <w:top w:val="nil"/>
              <w:left w:val="single" w:color="auto" w:sz="12" w:space="0"/>
              <w:bottom w:val="single" w:color="000000" w:sz="12" w:space="0"/>
              <w:right w:val="single" w:color="auto" w:sz="4" w:space="0"/>
            </w:tcBorders>
            <w:vAlign w:val="center"/>
          </w:tcPr>
          <w:p>
            <w:pPr>
              <w:widowControl/>
              <w:spacing w:line="360" w:lineRule="exact"/>
              <w:jc w:val="left"/>
              <w:rPr>
                <w:rFonts w:ascii="宋体" w:hAnsi="宋体"/>
                <w:sz w:val="24"/>
                <w:szCs w:val="24"/>
              </w:rPr>
            </w:pPr>
          </w:p>
        </w:tc>
        <w:tc>
          <w:tcPr>
            <w:tcW w:w="4665"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rPr>
              <w:t>门套</w:t>
            </w:r>
          </w:p>
        </w:tc>
        <w:tc>
          <w:tcPr>
            <w:tcW w:w="2670" w:type="dxa"/>
            <w:tcBorders>
              <w:top w:val="nil"/>
              <w:left w:val="nil"/>
              <w:bottom w:val="single" w:color="auto" w:sz="4" w:space="0"/>
              <w:right w:val="single" w:color="auto" w:sz="12" w:space="0"/>
            </w:tcBorders>
            <w:tcMar>
              <w:top w:w="15" w:type="dxa"/>
              <w:left w:w="15" w:type="dxa"/>
              <w:bottom w:w="0" w:type="dxa"/>
              <w:right w:w="15" w:type="dxa"/>
            </w:tcMar>
            <w:vAlign w:val="center"/>
          </w:tcPr>
          <w:p>
            <w:pPr>
              <w:widowControl/>
              <w:spacing w:line="360" w:lineRule="exact"/>
              <w:jc w:val="center"/>
              <w:textAlignment w:val="center"/>
              <w:rPr>
                <w:rFonts w:ascii="宋体" w:hAnsi="宋体"/>
                <w:sz w:val="24"/>
                <w:szCs w:val="24"/>
              </w:rPr>
            </w:pPr>
            <w:r>
              <w:rPr>
                <w:rFonts w:hint="eastAsia" w:ascii="宋体" w:hAnsi="宋体"/>
                <w:kern w:val="0"/>
                <w:sz w:val="24"/>
                <w:szCs w:val="24"/>
                <w:lang w:eastAsia="zh-CN"/>
              </w:rPr>
              <w:t>国标</w:t>
            </w:r>
          </w:p>
        </w:tc>
      </w:tr>
    </w:tbl>
    <w:p>
      <w:pPr>
        <w:autoSpaceDE w:val="0"/>
        <w:autoSpaceDN w:val="0"/>
        <w:spacing w:line="360" w:lineRule="exact"/>
        <w:rPr>
          <w:rFonts w:ascii="仿宋_GB2312" w:hAnsi="仿宋"/>
          <w:sz w:val="24"/>
          <w:szCs w:val="24"/>
        </w:rPr>
      </w:pPr>
      <w:r>
        <w:rPr>
          <w:rFonts w:hint="eastAsia" w:ascii="宋体" w:hAnsi="宋体"/>
          <w:sz w:val="24"/>
          <w:szCs w:val="24"/>
        </w:rPr>
        <w:t xml:space="preserve"> </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default" w:ascii="宋体" w:hAnsi="宋体" w:eastAsia="宋体" w:cs="宋体"/>
          <w:color w:val="000000"/>
          <w:kern w:val="0"/>
          <w:sz w:val="24"/>
          <w:szCs w:val="24"/>
          <w:u w:val="single"/>
          <w:lang w:val="en-US"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val="en-US" w:eastAsia="zh-CN"/>
        </w:rPr>
        <w:t xml:space="preserve">南通高等师范学校附属小学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1"/>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南通高等师范学校附属小学食堂餐梯更换采购项目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lang w:eastAsia="zh-CN"/>
        </w:rPr>
        <w:t>2022</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lang w:eastAsia="zh-CN"/>
        </w:rPr>
        <w:t>2022</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u w:val="single"/>
          <w:lang w:val="en-US" w:eastAsia="zh-CN"/>
        </w:rPr>
        <w:t>30</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val="en-US" w:eastAsia="zh-CN"/>
        </w:rPr>
        <w:t>南通高等师范学校附属小学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w:t>
      </w:r>
      <w:r>
        <w:rPr>
          <w:rFonts w:hint="eastAsia" w:ascii="宋体" w:hAnsi="宋体" w:eastAsia="宋体" w:cs="宋体"/>
          <w:bCs/>
          <w:sz w:val="24"/>
          <w:szCs w:val="24"/>
          <w:lang w:val="en-US" w:eastAsia="zh-CN"/>
        </w:rPr>
        <w:t>80</w:t>
      </w:r>
      <w:r>
        <w:rPr>
          <w:rFonts w:hint="eastAsia" w:ascii="宋体" w:hAnsi="宋体" w:eastAsia="宋体" w:cs="宋体"/>
          <w:bCs/>
          <w:sz w:val="24"/>
          <w:szCs w:val="24"/>
        </w:rPr>
        <w:t>%，余款</w:t>
      </w:r>
      <w:r>
        <w:rPr>
          <w:rFonts w:hint="eastAsia" w:ascii="宋体" w:hAnsi="宋体" w:eastAsia="宋体" w:cs="宋体"/>
          <w:bCs/>
          <w:sz w:val="24"/>
          <w:szCs w:val="24"/>
          <w:lang w:val="en-US" w:eastAsia="zh-CN"/>
        </w:rPr>
        <w:t>两年后经验收合格</w:t>
      </w:r>
      <w:r>
        <w:rPr>
          <w:rFonts w:hint="eastAsia" w:ascii="宋体" w:hAnsi="宋体" w:eastAsia="宋体" w:cs="宋体"/>
          <w:bCs/>
          <w:sz w:val="24"/>
          <w:szCs w:val="24"/>
        </w:rPr>
        <w:t>付款至100%。</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w:t>
      </w:r>
      <w:r>
        <w:rPr>
          <w:rFonts w:hint="eastAsia" w:ascii="宋体" w:hAnsi="宋体" w:eastAsia="宋体" w:cs="新宋体"/>
          <w:sz w:val="24"/>
          <w:szCs w:val="24"/>
          <w:u w:val="single"/>
          <w:lang w:val="en-US" w:eastAsia="zh-CN"/>
        </w:rPr>
        <w:t>贰</w:t>
      </w:r>
      <w:r>
        <w:rPr>
          <w:rFonts w:hint="eastAsia" w:ascii="宋体" w:hAnsi="宋体" w:eastAsia="宋体" w:cs="新宋体"/>
          <w:sz w:val="24"/>
          <w:szCs w:val="24"/>
          <w:u w:val="single"/>
        </w:rPr>
        <w:t xml:space="preserve">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5"/>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5"/>
              <w:adjustRightInd w:val="0"/>
              <w:snapToGrid w:val="0"/>
              <w:spacing w:line="300" w:lineRule="auto"/>
              <w:rPr>
                <w:rFonts w:ascii="宋体" w:hAnsi="宋体" w:eastAsia="宋体" w:cs="宋体"/>
                <w:kern w:val="2"/>
                <w:sz w:val="24"/>
                <w:szCs w:val="24"/>
              </w:rPr>
            </w:pPr>
          </w:p>
        </w:tc>
        <w:tc>
          <w:tcPr>
            <w:tcW w:w="2094" w:type="pct"/>
            <w:vAlign w:val="center"/>
          </w:tcPr>
          <w:p>
            <w:pPr>
              <w:pStyle w:val="5"/>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5"/>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 xml:space="preserve">日期：  </w:t>
      </w:r>
      <w:r>
        <w:rPr>
          <w:rFonts w:hint="eastAsia" w:ascii="宋体" w:hAnsi="宋体" w:eastAsia="宋体"/>
          <w:sz w:val="24"/>
          <w:szCs w:val="24"/>
          <w:lang w:eastAsia="zh-CN"/>
        </w:rPr>
        <w:t>2022</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1"/>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供应商名称（公章）：</w:t>
      </w:r>
    </w:p>
    <w:p>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9</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lang w:val="en-US" w:eastAsia="zh-CN"/>
      </w:rPr>
      <w:t>南通高等师范学校附属小学食堂餐梯更换采购项目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lang w:val="en-US" w:eastAsia="zh-CN"/>
      </w:rPr>
    </w:pPr>
    <w:r>
      <w:rPr>
        <w:rFonts w:hint="eastAsia"/>
        <w:lang w:val="en-US" w:eastAsia="zh-CN"/>
      </w:rPr>
      <w:t>南通高等师范学校附属小学食堂餐梯更换采购项目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5BA0E8"/>
    <w:multiLevelType w:val="singleLevel"/>
    <w:tmpl w:val="685BA0E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7F3E"/>
    <w:rsid w:val="00021B17"/>
    <w:rsid w:val="00080ED2"/>
    <w:rsid w:val="000B6A00"/>
    <w:rsid w:val="00234B9E"/>
    <w:rsid w:val="00266B9E"/>
    <w:rsid w:val="00296F98"/>
    <w:rsid w:val="002D5774"/>
    <w:rsid w:val="002F4489"/>
    <w:rsid w:val="003330DB"/>
    <w:rsid w:val="00340446"/>
    <w:rsid w:val="004374FE"/>
    <w:rsid w:val="004468A7"/>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293D1D"/>
    <w:rsid w:val="0430271B"/>
    <w:rsid w:val="04621485"/>
    <w:rsid w:val="047A657B"/>
    <w:rsid w:val="05892AE5"/>
    <w:rsid w:val="05DE0F09"/>
    <w:rsid w:val="06D83757"/>
    <w:rsid w:val="06DD65BA"/>
    <w:rsid w:val="0AC67231"/>
    <w:rsid w:val="0BA53987"/>
    <w:rsid w:val="0D4A1C50"/>
    <w:rsid w:val="0E195485"/>
    <w:rsid w:val="0E1B4E92"/>
    <w:rsid w:val="0EED74D6"/>
    <w:rsid w:val="101A7331"/>
    <w:rsid w:val="10C23766"/>
    <w:rsid w:val="11EB3D14"/>
    <w:rsid w:val="12405819"/>
    <w:rsid w:val="1366623E"/>
    <w:rsid w:val="143F00AF"/>
    <w:rsid w:val="148364FA"/>
    <w:rsid w:val="15FF11DD"/>
    <w:rsid w:val="16B741BB"/>
    <w:rsid w:val="172964C1"/>
    <w:rsid w:val="17A32045"/>
    <w:rsid w:val="18085FAA"/>
    <w:rsid w:val="18B91FD8"/>
    <w:rsid w:val="19F53ACB"/>
    <w:rsid w:val="1A0345A1"/>
    <w:rsid w:val="1AD5032B"/>
    <w:rsid w:val="1B01765C"/>
    <w:rsid w:val="1B816820"/>
    <w:rsid w:val="1C9C18AD"/>
    <w:rsid w:val="1D932FAF"/>
    <w:rsid w:val="1E52138F"/>
    <w:rsid w:val="203F46B7"/>
    <w:rsid w:val="21495805"/>
    <w:rsid w:val="21DC404C"/>
    <w:rsid w:val="22DE15F0"/>
    <w:rsid w:val="23A75FF7"/>
    <w:rsid w:val="2650069C"/>
    <w:rsid w:val="28BF386D"/>
    <w:rsid w:val="29E54BA8"/>
    <w:rsid w:val="2B227577"/>
    <w:rsid w:val="2BD15D47"/>
    <w:rsid w:val="2C8D2895"/>
    <w:rsid w:val="2D604645"/>
    <w:rsid w:val="2F3D1A15"/>
    <w:rsid w:val="322B13C4"/>
    <w:rsid w:val="325564F4"/>
    <w:rsid w:val="32885B5B"/>
    <w:rsid w:val="32941625"/>
    <w:rsid w:val="334E42D5"/>
    <w:rsid w:val="3566165A"/>
    <w:rsid w:val="363B3039"/>
    <w:rsid w:val="37F05A73"/>
    <w:rsid w:val="397B7834"/>
    <w:rsid w:val="397C68A1"/>
    <w:rsid w:val="39A204F6"/>
    <w:rsid w:val="3D261DEC"/>
    <w:rsid w:val="3D7D34A3"/>
    <w:rsid w:val="3DA6550E"/>
    <w:rsid w:val="3DAD18AA"/>
    <w:rsid w:val="403E55C3"/>
    <w:rsid w:val="417E5498"/>
    <w:rsid w:val="41800D8D"/>
    <w:rsid w:val="41BB7A57"/>
    <w:rsid w:val="42350E06"/>
    <w:rsid w:val="42F950A7"/>
    <w:rsid w:val="447B1D0E"/>
    <w:rsid w:val="45C61C92"/>
    <w:rsid w:val="46106D55"/>
    <w:rsid w:val="47AE46D7"/>
    <w:rsid w:val="47C35A5D"/>
    <w:rsid w:val="48620671"/>
    <w:rsid w:val="48D95232"/>
    <w:rsid w:val="4A2F11A3"/>
    <w:rsid w:val="4A4C42A4"/>
    <w:rsid w:val="4B124BE3"/>
    <w:rsid w:val="4C59591B"/>
    <w:rsid w:val="4CF34A43"/>
    <w:rsid w:val="4D33283B"/>
    <w:rsid w:val="4E094596"/>
    <w:rsid w:val="4E5A31CA"/>
    <w:rsid w:val="4EDD5341"/>
    <w:rsid w:val="4F085E88"/>
    <w:rsid w:val="4F152C67"/>
    <w:rsid w:val="4F8A0D03"/>
    <w:rsid w:val="51454113"/>
    <w:rsid w:val="51D71F5E"/>
    <w:rsid w:val="52C942F5"/>
    <w:rsid w:val="52D468DD"/>
    <w:rsid w:val="53430FF2"/>
    <w:rsid w:val="53917EDD"/>
    <w:rsid w:val="53B660D6"/>
    <w:rsid w:val="547D7D04"/>
    <w:rsid w:val="54BA6B11"/>
    <w:rsid w:val="54C77258"/>
    <w:rsid w:val="57A8089B"/>
    <w:rsid w:val="581205EB"/>
    <w:rsid w:val="59576BBE"/>
    <w:rsid w:val="59FF74EB"/>
    <w:rsid w:val="5A3900F6"/>
    <w:rsid w:val="5D7C7E6A"/>
    <w:rsid w:val="5D852366"/>
    <w:rsid w:val="5E477B07"/>
    <w:rsid w:val="609F1484"/>
    <w:rsid w:val="60D91762"/>
    <w:rsid w:val="61982C6F"/>
    <w:rsid w:val="62E1096C"/>
    <w:rsid w:val="63A54E09"/>
    <w:rsid w:val="659F79E0"/>
    <w:rsid w:val="68302B27"/>
    <w:rsid w:val="687C7AB9"/>
    <w:rsid w:val="68BE1859"/>
    <w:rsid w:val="68D41851"/>
    <w:rsid w:val="68F16528"/>
    <w:rsid w:val="69AA10F4"/>
    <w:rsid w:val="69C22AEE"/>
    <w:rsid w:val="6A4E5C1C"/>
    <w:rsid w:val="6A765B22"/>
    <w:rsid w:val="6AB73301"/>
    <w:rsid w:val="6D5B678F"/>
    <w:rsid w:val="6DDD2FF9"/>
    <w:rsid w:val="6EEE5BAF"/>
    <w:rsid w:val="6F912508"/>
    <w:rsid w:val="701308D4"/>
    <w:rsid w:val="70166110"/>
    <w:rsid w:val="70AA7550"/>
    <w:rsid w:val="70BF50A1"/>
    <w:rsid w:val="71F64BA9"/>
    <w:rsid w:val="722E2A61"/>
    <w:rsid w:val="73A8634F"/>
    <w:rsid w:val="74570C0A"/>
    <w:rsid w:val="74637A89"/>
    <w:rsid w:val="7471559C"/>
    <w:rsid w:val="75D71F9F"/>
    <w:rsid w:val="76B66FE0"/>
    <w:rsid w:val="77F753B8"/>
    <w:rsid w:val="78B24499"/>
    <w:rsid w:val="79224089"/>
    <w:rsid w:val="7990698B"/>
    <w:rsid w:val="799A5D1A"/>
    <w:rsid w:val="79A82155"/>
    <w:rsid w:val="79AE1A6A"/>
    <w:rsid w:val="79BF1990"/>
    <w:rsid w:val="7A1234BA"/>
    <w:rsid w:val="7A910442"/>
    <w:rsid w:val="7B893E15"/>
    <w:rsid w:val="7BBD1804"/>
    <w:rsid w:val="7C876E5C"/>
    <w:rsid w:val="7C90674F"/>
    <w:rsid w:val="7D7B3F4E"/>
    <w:rsid w:val="7DC07E42"/>
    <w:rsid w:val="7DCF26F9"/>
    <w:rsid w:val="7DD205FA"/>
    <w:rsid w:val="7E305F7E"/>
    <w:rsid w:val="7F5C7CE3"/>
    <w:rsid w:val="7F840B75"/>
    <w:rsid w:val="7FC17F95"/>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paragraph" w:styleId="3">
    <w:name w:val="heading 2"/>
    <w:basedOn w:val="1"/>
    <w:next w:val="1"/>
    <w:qFormat/>
    <w:uiPriority w:val="99"/>
    <w:pPr>
      <w:keepNext/>
      <w:keepLines/>
      <w:spacing w:line="408" w:lineRule="auto"/>
      <w:outlineLvl w:val="1"/>
    </w:pPr>
    <w:rPr>
      <w:rFonts w:ascii="Arial" w:hAnsi="Arial" w:eastAsia="黑体" w:cs="Arial"/>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4">
    <w:name w:val="Normal Indent"/>
    <w:basedOn w:val="1"/>
    <w:semiHidden/>
    <w:unhideWhenUsed/>
    <w:qFormat/>
    <w:uiPriority w:val="99"/>
    <w:pPr>
      <w:ind w:firstLine="420" w:firstLineChars="200"/>
    </w:pPr>
  </w:style>
  <w:style w:type="paragraph" w:styleId="5">
    <w:name w:val="Body Text"/>
    <w:basedOn w:val="1"/>
    <w:link w:val="15"/>
    <w:qFormat/>
    <w:uiPriority w:val="0"/>
    <w:rPr>
      <w:rFonts w:ascii="楷体_GB2312" w:hAnsi="Arial" w:eastAsia="楷体_GB2312"/>
      <w:kern w:val="0"/>
      <w:sz w:val="28"/>
      <w:szCs w:val="20"/>
    </w:rPr>
  </w:style>
  <w:style w:type="paragraph" w:styleId="6">
    <w:name w:val="Plain Text"/>
    <w:basedOn w:val="1"/>
    <w:link w:val="24"/>
    <w:qFormat/>
    <w:uiPriority w:val="99"/>
    <w:rPr>
      <w:rFonts w:ascii="宋体" w:hAnsi="Courier New" w:eastAsia="宋体" w:cs="Courier New"/>
      <w:szCs w:val="21"/>
    </w:rPr>
  </w:style>
  <w:style w:type="paragraph" w:styleId="7">
    <w:name w:val="Date"/>
    <w:basedOn w:val="1"/>
    <w:next w:val="1"/>
    <w:link w:val="16"/>
    <w:unhideWhenUsed/>
    <w:qFormat/>
    <w:uiPriority w:val="0"/>
    <w:rPr>
      <w:rFonts w:ascii="Times New Roman" w:hAnsi="Times New Roman" w:eastAsia="宋体"/>
      <w:kern w:val="0"/>
      <w:sz w:val="24"/>
      <w:szCs w:val="20"/>
    </w:rPr>
  </w:style>
  <w:style w:type="paragraph" w:styleId="8">
    <w:name w:val="footer"/>
    <w:basedOn w:val="1"/>
    <w:link w:val="17"/>
    <w:unhideWhenUsed/>
    <w:qFormat/>
    <w:uiPriority w:val="0"/>
    <w:pPr>
      <w:tabs>
        <w:tab w:val="center" w:pos="4153"/>
        <w:tab w:val="right" w:pos="8306"/>
      </w:tabs>
      <w:snapToGrid w:val="0"/>
      <w:jc w:val="left"/>
    </w:pPr>
    <w:rPr>
      <w:kern w:val="0"/>
      <w:sz w:val="18"/>
      <w:szCs w:val="18"/>
    </w:rPr>
  </w:style>
  <w:style w:type="paragraph" w:styleId="9">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Hyperlink"/>
    <w:unhideWhenUsed/>
    <w:qFormat/>
    <w:uiPriority w:val="99"/>
    <w:rPr>
      <w:color w:val="000000"/>
      <w:u w:val="none"/>
    </w:rPr>
  </w:style>
  <w:style w:type="character" w:customStyle="1" w:styleId="14">
    <w:name w:val="正文文本缩进 Char"/>
    <w:basedOn w:val="12"/>
    <w:link w:val="2"/>
    <w:uiPriority w:val="0"/>
    <w:rPr>
      <w:rFonts w:ascii="仿宋_GB2312" w:hAnsi="Calibri" w:eastAsia="仿宋_GB2312" w:cs="Times New Roman"/>
    </w:rPr>
  </w:style>
  <w:style w:type="character" w:customStyle="1" w:styleId="15">
    <w:name w:val="正文文本 Char"/>
    <w:basedOn w:val="12"/>
    <w:link w:val="5"/>
    <w:qFormat/>
    <w:uiPriority w:val="0"/>
    <w:rPr>
      <w:rFonts w:ascii="楷体_GB2312" w:hAnsi="Arial" w:eastAsia="楷体_GB2312" w:cs="Times New Roman"/>
      <w:kern w:val="0"/>
      <w:sz w:val="28"/>
      <w:szCs w:val="20"/>
    </w:rPr>
  </w:style>
  <w:style w:type="character" w:customStyle="1" w:styleId="16">
    <w:name w:val="日期 Char"/>
    <w:basedOn w:val="12"/>
    <w:link w:val="7"/>
    <w:qFormat/>
    <w:uiPriority w:val="0"/>
    <w:rPr>
      <w:rFonts w:ascii="Times New Roman" w:hAnsi="Times New Roman" w:eastAsia="宋体" w:cs="Times New Roman"/>
      <w:kern w:val="0"/>
      <w:sz w:val="24"/>
      <w:szCs w:val="20"/>
    </w:rPr>
  </w:style>
  <w:style w:type="character" w:customStyle="1" w:styleId="17">
    <w:name w:val="页脚 Char"/>
    <w:basedOn w:val="12"/>
    <w:link w:val="8"/>
    <w:qFormat/>
    <w:uiPriority w:val="0"/>
    <w:rPr>
      <w:rFonts w:ascii="仿宋_GB2312" w:hAnsi="Calibri" w:eastAsia="仿宋_GB2312" w:cs="Times New Roman"/>
      <w:kern w:val="0"/>
      <w:sz w:val="18"/>
      <w:szCs w:val="18"/>
    </w:rPr>
  </w:style>
  <w:style w:type="character" w:customStyle="1" w:styleId="18">
    <w:name w:val="页眉 Char"/>
    <w:basedOn w:val="12"/>
    <w:link w:val="9"/>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4"/>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6"/>
    <w:qFormat/>
    <w:uiPriority w:val="99"/>
    <w:rPr>
      <w:rFonts w:ascii="宋体" w:hAnsi="Courier New" w:eastAsia="宋体" w:cs="Courier New"/>
      <w:szCs w:val="21"/>
    </w:rPr>
  </w:style>
  <w:style w:type="character" w:customStyle="1" w:styleId="25">
    <w:name w:val="15"/>
    <w:basedOn w:val="12"/>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Pages>
  <Words>1652</Words>
  <Characters>9417</Characters>
  <Lines>78</Lines>
  <Paragraphs>22</Paragraphs>
  <TotalTime>26</TotalTime>
  <ScaleCrop>false</ScaleCrop>
  <LinksUpToDate>false</LinksUpToDate>
  <CharactersWithSpaces>11047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往事随风</cp:lastModifiedBy>
  <dcterms:modified xsi:type="dcterms:W3CDTF">2022-07-28T00:21:47Z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5CAAA33BC110460F92C947585B5DCA3E</vt:lpwstr>
  </property>
</Properties>
</file>